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3AF8B" w14:textId="015C0E92" w:rsidR="0084395D" w:rsidRPr="0001222D" w:rsidRDefault="002B4288" w:rsidP="0025347D">
      <w:pPr>
        <w:pStyle w:val="Subtitle"/>
        <w:jc w:val="center"/>
        <w:rPr>
          <w:rFonts w:ascii="Open Sans" w:eastAsiaTheme="minorHAnsi" w:hAnsi="Open Sans" w:cs="Open Sans"/>
          <w:b/>
          <w:bCs/>
          <w:color w:val="auto"/>
          <w:spacing w:val="0"/>
          <w:sz w:val="24"/>
          <w:szCs w:val="24"/>
        </w:rPr>
      </w:pPr>
      <w:r w:rsidRPr="0001222D">
        <w:rPr>
          <w:rFonts w:ascii="Open Sans" w:eastAsiaTheme="minorHAnsi" w:hAnsi="Open Sans" w:cs="Open Sans"/>
          <w:b/>
          <w:bCs/>
          <w:color w:val="auto"/>
          <w:spacing w:val="0"/>
          <w:sz w:val="24"/>
          <w:szCs w:val="24"/>
        </w:rPr>
        <w:t>Transparency Statement</w:t>
      </w:r>
    </w:p>
    <w:p w14:paraId="3DEEB628" w14:textId="09CEF46D" w:rsidR="0084395D" w:rsidRPr="0001222D" w:rsidRDefault="002B4288" w:rsidP="0025347D">
      <w:pPr>
        <w:pStyle w:val="Subtitle"/>
        <w:jc w:val="center"/>
        <w:rPr>
          <w:rFonts w:ascii="Open Sans" w:eastAsiaTheme="minorHAnsi" w:hAnsi="Open Sans" w:cs="Open Sans"/>
          <w:b/>
          <w:bCs/>
          <w:color w:val="auto"/>
          <w:spacing w:val="0"/>
          <w:sz w:val="24"/>
          <w:szCs w:val="24"/>
        </w:rPr>
      </w:pPr>
      <w:r w:rsidRPr="0001222D">
        <w:rPr>
          <w:rFonts w:ascii="Open Sans" w:eastAsiaTheme="minorHAnsi" w:hAnsi="Open Sans" w:cs="Open Sans"/>
          <w:b/>
          <w:bCs/>
          <w:color w:val="auto"/>
          <w:spacing w:val="0"/>
          <w:sz w:val="24"/>
          <w:szCs w:val="24"/>
        </w:rPr>
        <w:t>under Article 10 of the Sustainable Finance Disclosure Regulation (EU) 2019/2088 (“SFDR”)</w:t>
      </w:r>
    </w:p>
    <w:p w14:paraId="7C75C381" w14:textId="77777777" w:rsidR="0084395D" w:rsidRPr="0001222D" w:rsidRDefault="002B4288" w:rsidP="0025347D">
      <w:pPr>
        <w:pStyle w:val="Subtitle"/>
        <w:jc w:val="center"/>
        <w:rPr>
          <w:rFonts w:ascii="Open Sans" w:eastAsiaTheme="minorHAnsi" w:hAnsi="Open Sans" w:cs="Open Sans"/>
          <w:b/>
          <w:bCs/>
          <w:color w:val="auto"/>
          <w:spacing w:val="0"/>
          <w:sz w:val="24"/>
          <w:szCs w:val="24"/>
        </w:rPr>
      </w:pPr>
      <w:r w:rsidRPr="0001222D">
        <w:rPr>
          <w:rFonts w:ascii="Open Sans" w:eastAsiaTheme="minorHAnsi" w:hAnsi="Open Sans" w:cs="Open Sans"/>
          <w:b/>
          <w:bCs/>
          <w:color w:val="auto"/>
          <w:spacing w:val="0"/>
          <w:sz w:val="24"/>
          <w:szCs w:val="24"/>
        </w:rPr>
        <w:t>in respect of</w:t>
      </w:r>
    </w:p>
    <w:p w14:paraId="710F31EF" w14:textId="152F27C0" w:rsidR="002B4288" w:rsidRPr="0001222D" w:rsidRDefault="00ED2FD7" w:rsidP="0025347D">
      <w:pPr>
        <w:pStyle w:val="Subtitle"/>
        <w:jc w:val="center"/>
        <w:rPr>
          <w:rFonts w:ascii="Open Sans" w:eastAsiaTheme="minorHAnsi" w:hAnsi="Open Sans" w:cs="Open Sans"/>
          <w:b/>
          <w:bCs/>
          <w:color w:val="auto"/>
          <w:spacing w:val="0"/>
          <w:sz w:val="24"/>
          <w:szCs w:val="24"/>
        </w:rPr>
      </w:pPr>
      <w:r w:rsidRPr="0001222D">
        <w:rPr>
          <w:rFonts w:ascii="Open Sans" w:eastAsiaTheme="minorHAnsi" w:hAnsi="Open Sans" w:cs="Open Sans"/>
          <w:b/>
          <w:bCs/>
          <w:color w:val="auto"/>
          <w:spacing w:val="0"/>
          <w:sz w:val="24"/>
          <w:szCs w:val="24"/>
        </w:rPr>
        <w:t xml:space="preserve">Petrus </w:t>
      </w:r>
      <w:r w:rsidR="00880731">
        <w:rPr>
          <w:rFonts w:ascii="Open Sans" w:eastAsiaTheme="minorHAnsi" w:hAnsi="Open Sans" w:cs="Open Sans"/>
          <w:b/>
          <w:bCs/>
          <w:color w:val="auto"/>
          <w:spacing w:val="0"/>
          <w:sz w:val="24"/>
          <w:szCs w:val="24"/>
        </w:rPr>
        <w:t>R</w:t>
      </w:r>
      <w:r w:rsidRPr="0001222D">
        <w:rPr>
          <w:rFonts w:ascii="Open Sans" w:eastAsiaTheme="minorHAnsi" w:hAnsi="Open Sans" w:cs="Open Sans"/>
          <w:b/>
          <w:bCs/>
          <w:color w:val="auto"/>
          <w:spacing w:val="0"/>
          <w:sz w:val="24"/>
          <w:szCs w:val="24"/>
        </w:rPr>
        <w:t xml:space="preserve">eal </w:t>
      </w:r>
      <w:r w:rsidR="00880731">
        <w:rPr>
          <w:rFonts w:ascii="Open Sans" w:eastAsiaTheme="minorHAnsi" w:hAnsi="Open Sans" w:cs="Open Sans"/>
          <w:b/>
          <w:bCs/>
          <w:color w:val="auto"/>
          <w:spacing w:val="0"/>
          <w:sz w:val="24"/>
          <w:szCs w:val="24"/>
        </w:rPr>
        <w:t>E</w:t>
      </w:r>
      <w:r w:rsidRPr="0001222D">
        <w:rPr>
          <w:rFonts w:ascii="Open Sans" w:eastAsiaTheme="minorHAnsi" w:hAnsi="Open Sans" w:cs="Open Sans"/>
          <w:b/>
          <w:bCs/>
          <w:color w:val="auto"/>
          <w:spacing w:val="0"/>
          <w:sz w:val="24"/>
          <w:szCs w:val="24"/>
        </w:rPr>
        <w:t xml:space="preserve">state </w:t>
      </w:r>
      <w:r w:rsidR="00880731">
        <w:rPr>
          <w:rFonts w:ascii="Open Sans" w:eastAsiaTheme="minorHAnsi" w:hAnsi="Open Sans" w:cs="Open Sans"/>
          <w:b/>
          <w:bCs/>
          <w:color w:val="auto"/>
          <w:spacing w:val="0"/>
          <w:sz w:val="24"/>
          <w:szCs w:val="24"/>
        </w:rPr>
        <w:t>F</w:t>
      </w:r>
      <w:r w:rsidRPr="0001222D">
        <w:rPr>
          <w:rFonts w:ascii="Open Sans" w:eastAsiaTheme="minorHAnsi" w:hAnsi="Open Sans" w:cs="Open Sans"/>
          <w:b/>
          <w:bCs/>
          <w:color w:val="auto"/>
          <w:spacing w:val="0"/>
          <w:sz w:val="24"/>
          <w:szCs w:val="24"/>
        </w:rPr>
        <w:t xml:space="preserve">und – Petrus </w:t>
      </w:r>
      <w:r w:rsidR="00880731">
        <w:rPr>
          <w:rFonts w:ascii="Open Sans" w:eastAsiaTheme="minorHAnsi" w:hAnsi="Open Sans" w:cs="Open Sans"/>
          <w:b/>
          <w:bCs/>
          <w:color w:val="auto"/>
          <w:spacing w:val="0"/>
          <w:sz w:val="24"/>
          <w:szCs w:val="24"/>
        </w:rPr>
        <w:t>R</w:t>
      </w:r>
      <w:r w:rsidRPr="0001222D">
        <w:rPr>
          <w:rFonts w:ascii="Open Sans" w:eastAsiaTheme="minorHAnsi" w:hAnsi="Open Sans" w:cs="Open Sans"/>
          <w:b/>
          <w:bCs/>
          <w:color w:val="auto"/>
          <w:spacing w:val="0"/>
          <w:sz w:val="24"/>
          <w:szCs w:val="24"/>
        </w:rPr>
        <w:t xml:space="preserve">esidential </w:t>
      </w:r>
      <w:r w:rsidR="00880731">
        <w:rPr>
          <w:rFonts w:ascii="Open Sans" w:eastAsiaTheme="minorHAnsi" w:hAnsi="Open Sans" w:cs="Open Sans"/>
          <w:b/>
          <w:bCs/>
          <w:color w:val="auto"/>
          <w:spacing w:val="0"/>
          <w:sz w:val="24"/>
          <w:szCs w:val="24"/>
        </w:rPr>
        <w:t>O</w:t>
      </w:r>
      <w:r w:rsidRPr="0001222D">
        <w:rPr>
          <w:rFonts w:ascii="Open Sans" w:eastAsiaTheme="minorHAnsi" w:hAnsi="Open Sans" w:cs="Open Sans"/>
          <w:b/>
          <w:bCs/>
          <w:color w:val="auto"/>
          <w:spacing w:val="0"/>
          <w:sz w:val="24"/>
          <w:szCs w:val="24"/>
        </w:rPr>
        <w:t xml:space="preserve">pportunities </w:t>
      </w:r>
      <w:r w:rsidR="00880731">
        <w:rPr>
          <w:rFonts w:ascii="Open Sans" w:eastAsiaTheme="minorHAnsi" w:hAnsi="Open Sans" w:cs="Open Sans"/>
          <w:b/>
          <w:bCs/>
          <w:color w:val="auto"/>
          <w:spacing w:val="0"/>
          <w:sz w:val="24"/>
          <w:szCs w:val="24"/>
        </w:rPr>
        <w:t>F</w:t>
      </w:r>
      <w:r w:rsidRPr="0001222D">
        <w:rPr>
          <w:rFonts w:ascii="Open Sans" w:eastAsiaTheme="minorHAnsi" w:hAnsi="Open Sans" w:cs="Open Sans"/>
          <w:b/>
          <w:bCs/>
          <w:color w:val="auto"/>
          <w:spacing w:val="0"/>
          <w:sz w:val="24"/>
          <w:szCs w:val="24"/>
        </w:rPr>
        <w:t>und</w:t>
      </w:r>
      <w:r w:rsidR="003D0976" w:rsidRPr="0001222D">
        <w:rPr>
          <w:rFonts w:ascii="Open Sans" w:eastAsiaTheme="minorHAnsi" w:hAnsi="Open Sans" w:cs="Open Sans"/>
          <w:b/>
          <w:bCs/>
          <w:color w:val="auto"/>
          <w:spacing w:val="0"/>
          <w:sz w:val="24"/>
          <w:szCs w:val="24"/>
        </w:rPr>
        <w:t xml:space="preserve"> </w:t>
      </w:r>
      <w:r w:rsidR="002B4288" w:rsidRPr="0001222D">
        <w:rPr>
          <w:rFonts w:ascii="Open Sans" w:eastAsiaTheme="minorHAnsi" w:hAnsi="Open Sans" w:cs="Open Sans"/>
          <w:b/>
          <w:bCs/>
          <w:color w:val="auto"/>
          <w:spacing w:val="0"/>
          <w:sz w:val="24"/>
          <w:szCs w:val="24"/>
        </w:rPr>
        <w:t>(the “</w:t>
      </w:r>
      <w:r w:rsidR="003D0976" w:rsidRPr="0001222D">
        <w:rPr>
          <w:rFonts w:ascii="Open Sans" w:eastAsiaTheme="minorHAnsi" w:hAnsi="Open Sans" w:cs="Open Sans"/>
          <w:b/>
          <w:bCs/>
          <w:color w:val="auto"/>
          <w:spacing w:val="0"/>
          <w:sz w:val="24"/>
          <w:szCs w:val="24"/>
        </w:rPr>
        <w:t>Fund</w:t>
      </w:r>
      <w:r w:rsidR="002B4288" w:rsidRPr="0001222D">
        <w:rPr>
          <w:rFonts w:ascii="Open Sans" w:eastAsiaTheme="minorHAnsi" w:hAnsi="Open Sans" w:cs="Open Sans"/>
          <w:b/>
          <w:bCs/>
          <w:color w:val="auto"/>
          <w:spacing w:val="0"/>
          <w:sz w:val="24"/>
          <w:szCs w:val="24"/>
        </w:rPr>
        <w:t>”)</w:t>
      </w:r>
    </w:p>
    <w:tbl>
      <w:tblPr>
        <w:tblStyle w:val="TableGrid"/>
        <w:tblW w:w="9019" w:type="dxa"/>
        <w:tblInd w:w="-5" w:type="dxa"/>
        <w:tblBorders>
          <w:insideH w:val="none" w:sz="0" w:space="0" w:color="auto"/>
          <w:insideV w:val="none" w:sz="0" w:space="0" w:color="auto"/>
        </w:tblBorders>
        <w:shd w:val="clear" w:color="auto" w:fill="DAE9F7" w:themeFill="text2" w:themeFillTint="1A"/>
        <w:tblLook w:val="04A0" w:firstRow="1" w:lastRow="0" w:firstColumn="1" w:lastColumn="0" w:noHBand="0" w:noVBand="1"/>
      </w:tblPr>
      <w:tblGrid>
        <w:gridCol w:w="9019"/>
      </w:tblGrid>
      <w:tr w:rsidR="00656D97" w:rsidRPr="00236B9F" w14:paraId="46D95C12" w14:textId="77777777" w:rsidTr="003E5982">
        <w:tc>
          <w:tcPr>
            <w:tcW w:w="9019" w:type="dxa"/>
            <w:shd w:val="clear" w:color="auto" w:fill="DAE9F7" w:themeFill="text2" w:themeFillTint="1A"/>
          </w:tcPr>
          <w:p w14:paraId="06AD711F" w14:textId="77777777" w:rsidR="00656D97" w:rsidRPr="00236B9F" w:rsidRDefault="00656D97" w:rsidP="00656D97">
            <w:pPr>
              <w:pStyle w:val="ListParagraph"/>
              <w:numPr>
                <w:ilvl w:val="0"/>
                <w:numId w:val="24"/>
              </w:numPr>
              <w:spacing w:after="120"/>
              <w:rPr>
                <w:rFonts w:ascii="Open Sans" w:hAnsi="Open Sans" w:cs="Open Sans"/>
                <w:b/>
                <w:bCs/>
                <w:sz w:val="24"/>
                <w:szCs w:val="24"/>
              </w:rPr>
            </w:pPr>
            <w:bookmarkStart w:id="0" w:name="_Hlk210750472"/>
            <w:r w:rsidRPr="00236B9F">
              <w:rPr>
                <w:rFonts w:ascii="Open Sans" w:hAnsi="Open Sans" w:cs="Open Sans"/>
                <w:b/>
                <w:bCs/>
                <w:sz w:val="24"/>
                <w:szCs w:val="24"/>
              </w:rPr>
              <w:t>Summary</w:t>
            </w:r>
            <w:r w:rsidRPr="00236B9F">
              <w:rPr>
                <w:rFonts w:ascii="Open Sans" w:hAnsi="Open Sans" w:cs="Open Sans"/>
                <w:b/>
                <w:bCs/>
                <w:color w:val="000000"/>
                <w:sz w:val="24"/>
                <w:szCs w:val="24"/>
              </w:rPr>
              <w:t xml:space="preserve"> </w:t>
            </w:r>
          </w:p>
        </w:tc>
      </w:tr>
      <w:bookmarkEnd w:id="0"/>
    </w:tbl>
    <w:p w14:paraId="33AF6656" w14:textId="77777777" w:rsidR="008450D9" w:rsidRPr="008450D9" w:rsidRDefault="008450D9" w:rsidP="008450D9">
      <w:pPr>
        <w:pStyle w:val="ListParagraph"/>
        <w:jc w:val="both"/>
        <w:rPr>
          <w:rFonts w:ascii="Open Sans" w:hAnsi="Open Sans" w:cs="Open Sans"/>
          <w:sz w:val="22"/>
          <w:szCs w:val="22"/>
        </w:rPr>
      </w:pPr>
    </w:p>
    <w:p w14:paraId="10CA6F9B" w14:textId="1F58373C" w:rsidR="00EE2A60" w:rsidRPr="0001222D" w:rsidRDefault="00EE2A60" w:rsidP="00EE2A60">
      <w:pPr>
        <w:pStyle w:val="ListParagraph"/>
        <w:numPr>
          <w:ilvl w:val="0"/>
          <w:numId w:val="15"/>
        </w:numPr>
        <w:jc w:val="both"/>
        <w:rPr>
          <w:rFonts w:ascii="Open Sans" w:hAnsi="Open Sans" w:cs="Open Sans"/>
          <w:sz w:val="22"/>
          <w:szCs w:val="22"/>
        </w:rPr>
      </w:pPr>
      <w:r w:rsidRPr="0001222D">
        <w:rPr>
          <w:rFonts w:ascii="Open Sans" w:hAnsi="Open Sans" w:cs="Open Sans"/>
          <w:b/>
          <w:bCs/>
          <w:sz w:val="22"/>
          <w:szCs w:val="22"/>
        </w:rPr>
        <w:t>No sustainable investment objective:</w:t>
      </w:r>
      <w:r w:rsidRPr="0001222D">
        <w:rPr>
          <w:rFonts w:ascii="Open Sans" w:hAnsi="Open Sans" w:cs="Open Sans"/>
          <w:sz w:val="22"/>
          <w:szCs w:val="22"/>
        </w:rPr>
        <w:t xml:space="preserve"> This financial product promotes environmental or social characteristics but does not have as its objective sustainable investment.</w:t>
      </w:r>
    </w:p>
    <w:p w14:paraId="1C609357" w14:textId="353902D2" w:rsidR="001558CE" w:rsidRPr="0001222D" w:rsidRDefault="00EE2A60" w:rsidP="008B52EF">
      <w:pPr>
        <w:pStyle w:val="ListParagraph"/>
        <w:numPr>
          <w:ilvl w:val="0"/>
          <w:numId w:val="15"/>
        </w:numPr>
        <w:spacing w:before="240"/>
        <w:jc w:val="both"/>
        <w:rPr>
          <w:rFonts w:ascii="Open Sans" w:hAnsi="Open Sans" w:cs="Open Sans"/>
          <w:sz w:val="22"/>
          <w:szCs w:val="22"/>
        </w:rPr>
      </w:pPr>
      <w:r w:rsidRPr="0001222D">
        <w:rPr>
          <w:rFonts w:ascii="Open Sans" w:hAnsi="Open Sans" w:cs="Open Sans"/>
          <w:b/>
          <w:bCs/>
          <w:sz w:val="22"/>
          <w:szCs w:val="22"/>
        </w:rPr>
        <w:t>Environmental or social characteristics:</w:t>
      </w:r>
      <w:r w:rsidRPr="0001222D">
        <w:rPr>
          <w:rFonts w:ascii="Open Sans" w:hAnsi="Open Sans" w:cs="Open Sans"/>
          <w:sz w:val="22"/>
          <w:szCs w:val="22"/>
        </w:rPr>
        <w:t xml:space="preserve"> </w:t>
      </w:r>
      <w:r w:rsidR="001558CE" w:rsidRPr="0001222D">
        <w:rPr>
          <w:rFonts w:ascii="Open Sans" w:hAnsi="Open Sans" w:cs="Open Sans"/>
          <w:sz w:val="22"/>
          <w:szCs w:val="22"/>
        </w:rPr>
        <w:t xml:space="preserve">The Fund </w:t>
      </w:r>
      <w:r w:rsidR="00237022" w:rsidRPr="0001222D">
        <w:rPr>
          <w:rFonts w:ascii="Open Sans" w:hAnsi="Open Sans" w:cs="Open Sans"/>
          <w:sz w:val="22"/>
          <w:szCs w:val="22"/>
        </w:rPr>
        <w:t xml:space="preserve">is an </w:t>
      </w:r>
      <w:r w:rsidR="00AA6C37" w:rsidRPr="0001222D">
        <w:rPr>
          <w:rFonts w:ascii="Open Sans" w:hAnsi="Open Sans" w:cs="Open Sans"/>
          <w:sz w:val="22"/>
          <w:szCs w:val="22"/>
        </w:rPr>
        <w:t>SFDR Article</w:t>
      </w:r>
      <w:r w:rsidR="00237022" w:rsidRPr="0001222D">
        <w:rPr>
          <w:rFonts w:ascii="Open Sans" w:hAnsi="Open Sans" w:cs="Open Sans"/>
          <w:sz w:val="22"/>
          <w:szCs w:val="22"/>
        </w:rPr>
        <w:t xml:space="preserve"> 8 </w:t>
      </w:r>
      <w:r w:rsidR="00AA6C37" w:rsidRPr="0001222D">
        <w:rPr>
          <w:rFonts w:ascii="Open Sans" w:hAnsi="Open Sans" w:cs="Open Sans"/>
          <w:sz w:val="22"/>
          <w:szCs w:val="22"/>
        </w:rPr>
        <w:t>product that promotes</w:t>
      </w:r>
      <w:r w:rsidR="001558CE" w:rsidRPr="0001222D">
        <w:rPr>
          <w:rFonts w:ascii="Open Sans" w:hAnsi="Open Sans" w:cs="Open Sans"/>
          <w:sz w:val="22"/>
          <w:szCs w:val="22"/>
        </w:rPr>
        <w:t xml:space="preserve"> the </w:t>
      </w:r>
      <w:r w:rsidR="00CF2207" w:rsidRPr="0001222D">
        <w:rPr>
          <w:rFonts w:ascii="Open Sans" w:hAnsi="Open Sans" w:cs="Open Sans"/>
          <w:sz w:val="22"/>
          <w:szCs w:val="22"/>
        </w:rPr>
        <w:t>following environmental</w:t>
      </w:r>
      <w:r w:rsidR="00440FFD" w:rsidRPr="0001222D">
        <w:rPr>
          <w:rFonts w:ascii="Open Sans" w:hAnsi="Open Sans" w:cs="Open Sans"/>
          <w:sz w:val="22"/>
          <w:szCs w:val="22"/>
        </w:rPr>
        <w:t xml:space="preserve"> and/or social </w:t>
      </w:r>
      <w:r w:rsidR="001558CE" w:rsidRPr="0001222D">
        <w:rPr>
          <w:rFonts w:ascii="Open Sans" w:hAnsi="Open Sans" w:cs="Open Sans"/>
          <w:sz w:val="22"/>
          <w:szCs w:val="22"/>
        </w:rPr>
        <w:t xml:space="preserve">characteristics through </w:t>
      </w:r>
      <w:r w:rsidR="00DE2F47" w:rsidRPr="0001222D">
        <w:rPr>
          <w:rFonts w:ascii="Open Sans" w:hAnsi="Open Sans" w:cs="Open Sans"/>
          <w:sz w:val="22"/>
          <w:szCs w:val="22"/>
        </w:rPr>
        <w:t xml:space="preserve">its </w:t>
      </w:r>
      <w:r w:rsidR="001558CE" w:rsidRPr="0001222D">
        <w:rPr>
          <w:rFonts w:ascii="Open Sans" w:hAnsi="Open Sans" w:cs="Open Sans"/>
          <w:sz w:val="22"/>
          <w:szCs w:val="22"/>
        </w:rPr>
        <w:t>investment process:</w:t>
      </w:r>
    </w:p>
    <w:p w14:paraId="2ECC56A8" w14:textId="25C9416B" w:rsidR="001558CE" w:rsidRPr="0001222D" w:rsidRDefault="001558CE" w:rsidP="001558CE">
      <w:pPr>
        <w:pStyle w:val="ListParagraph"/>
        <w:numPr>
          <w:ilvl w:val="1"/>
          <w:numId w:val="15"/>
        </w:numPr>
        <w:jc w:val="both"/>
        <w:rPr>
          <w:rFonts w:ascii="Open Sans" w:hAnsi="Open Sans" w:cs="Open Sans"/>
          <w:sz w:val="22"/>
          <w:szCs w:val="22"/>
        </w:rPr>
      </w:pPr>
      <w:r w:rsidRPr="0001222D">
        <w:rPr>
          <w:rFonts w:ascii="Open Sans" w:hAnsi="Open Sans" w:cs="Open Sans"/>
          <w:sz w:val="22"/>
          <w:szCs w:val="22"/>
        </w:rPr>
        <w:t>Improving the resource efficiency of its investments, focusing on</w:t>
      </w:r>
      <w:r w:rsidR="00120FF3" w:rsidRPr="0001222D">
        <w:rPr>
          <w:rFonts w:ascii="Open Sans" w:hAnsi="Open Sans" w:cs="Open Sans"/>
          <w:sz w:val="22"/>
          <w:szCs w:val="22"/>
        </w:rPr>
        <w:t xml:space="preserve"> the following </w:t>
      </w:r>
      <w:r w:rsidR="006405B8">
        <w:rPr>
          <w:rFonts w:ascii="Open Sans" w:hAnsi="Open Sans" w:cs="Open Sans"/>
          <w:sz w:val="22"/>
          <w:szCs w:val="22"/>
        </w:rPr>
        <w:t xml:space="preserve">at minimum </w:t>
      </w:r>
      <w:r w:rsidRPr="0001222D">
        <w:rPr>
          <w:rFonts w:ascii="Open Sans" w:hAnsi="Open Sans" w:cs="Open Sans"/>
          <w:sz w:val="22"/>
          <w:szCs w:val="22"/>
        </w:rPr>
        <w:t>in the common areas of buildings</w:t>
      </w:r>
      <w:r w:rsidR="00120FF3" w:rsidRPr="0001222D">
        <w:rPr>
          <w:rFonts w:ascii="Open Sans" w:hAnsi="Open Sans" w:cs="Open Sans"/>
          <w:sz w:val="22"/>
          <w:szCs w:val="22"/>
        </w:rPr>
        <w:t>:</w:t>
      </w:r>
    </w:p>
    <w:p w14:paraId="76F960BE" w14:textId="77777777" w:rsidR="004B2A26" w:rsidRPr="0001222D" w:rsidRDefault="001558CE" w:rsidP="00AE0AD9">
      <w:pPr>
        <w:pStyle w:val="ListParagraph"/>
        <w:numPr>
          <w:ilvl w:val="2"/>
          <w:numId w:val="16"/>
        </w:numPr>
        <w:jc w:val="both"/>
        <w:rPr>
          <w:rFonts w:ascii="Open Sans" w:hAnsi="Open Sans" w:cs="Open Sans"/>
          <w:sz w:val="22"/>
          <w:szCs w:val="22"/>
        </w:rPr>
      </w:pPr>
      <w:r w:rsidRPr="0001222D">
        <w:rPr>
          <w:rFonts w:ascii="Open Sans" w:hAnsi="Open Sans" w:cs="Open Sans"/>
          <w:sz w:val="22"/>
          <w:szCs w:val="22"/>
        </w:rPr>
        <w:t>Energy efficiency</w:t>
      </w:r>
    </w:p>
    <w:p w14:paraId="54079363" w14:textId="267886D1" w:rsidR="001558CE" w:rsidRPr="0001222D" w:rsidRDefault="001558CE" w:rsidP="00AE0AD9">
      <w:pPr>
        <w:pStyle w:val="ListParagraph"/>
        <w:numPr>
          <w:ilvl w:val="2"/>
          <w:numId w:val="16"/>
        </w:numPr>
        <w:jc w:val="both"/>
        <w:rPr>
          <w:rFonts w:ascii="Open Sans" w:hAnsi="Open Sans" w:cs="Open Sans"/>
          <w:sz w:val="22"/>
          <w:szCs w:val="22"/>
        </w:rPr>
      </w:pPr>
      <w:r w:rsidRPr="0001222D">
        <w:rPr>
          <w:rFonts w:ascii="Open Sans" w:hAnsi="Open Sans" w:cs="Open Sans"/>
          <w:sz w:val="22"/>
          <w:szCs w:val="22"/>
        </w:rPr>
        <w:t>Water efficiency</w:t>
      </w:r>
    </w:p>
    <w:p w14:paraId="699D0DED" w14:textId="178BFBDD" w:rsidR="004B2A26" w:rsidRPr="0001222D" w:rsidRDefault="00AE0AD9" w:rsidP="00AE0AD9">
      <w:pPr>
        <w:pStyle w:val="ListParagraph"/>
        <w:numPr>
          <w:ilvl w:val="2"/>
          <w:numId w:val="16"/>
        </w:numPr>
        <w:jc w:val="both"/>
        <w:rPr>
          <w:rFonts w:ascii="Open Sans" w:hAnsi="Open Sans" w:cs="Open Sans"/>
          <w:sz w:val="22"/>
          <w:szCs w:val="22"/>
        </w:rPr>
      </w:pPr>
      <w:r w:rsidRPr="0001222D">
        <w:rPr>
          <w:rFonts w:ascii="Open Sans" w:hAnsi="Open Sans" w:cs="Open Sans"/>
          <w:sz w:val="22"/>
          <w:szCs w:val="22"/>
        </w:rPr>
        <w:t>M</w:t>
      </w:r>
      <w:r w:rsidR="001558CE" w:rsidRPr="0001222D">
        <w:rPr>
          <w:rFonts w:ascii="Open Sans" w:hAnsi="Open Sans" w:cs="Open Sans"/>
          <w:sz w:val="22"/>
          <w:szCs w:val="22"/>
        </w:rPr>
        <w:t xml:space="preserve">inimise waste generation </w:t>
      </w:r>
    </w:p>
    <w:p w14:paraId="1EB34DB0" w14:textId="77777777" w:rsidR="004B2A26" w:rsidRPr="0001222D" w:rsidRDefault="001558CE" w:rsidP="00AE0AD9">
      <w:pPr>
        <w:pStyle w:val="ListParagraph"/>
        <w:numPr>
          <w:ilvl w:val="1"/>
          <w:numId w:val="15"/>
        </w:numPr>
        <w:jc w:val="both"/>
        <w:rPr>
          <w:rFonts w:ascii="Open Sans" w:hAnsi="Open Sans" w:cs="Open Sans"/>
          <w:sz w:val="22"/>
          <w:szCs w:val="22"/>
        </w:rPr>
      </w:pPr>
      <w:r w:rsidRPr="0001222D">
        <w:rPr>
          <w:rFonts w:ascii="Open Sans" w:hAnsi="Open Sans" w:cs="Open Sans"/>
          <w:sz w:val="22"/>
          <w:szCs w:val="22"/>
        </w:rPr>
        <w:t xml:space="preserve">Access to affordable and social housing within European urban areas </w:t>
      </w:r>
    </w:p>
    <w:p w14:paraId="6294F488" w14:textId="03448DD2" w:rsidR="00EE2A60" w:rsidRPr="0001222D" w:rsidRDefault="001558CE" w:rsidP="00AE0AD9">
      <w:pPr>
        <w:pStyle w:val="ListParagraph"/>
        <w:numPr>
          <w:ilvl w:val="1"/>
          <w:numId w:val="15"/>
        </w:numPr>
        <w:jc w:val="both"/>
        <w:rPr>
          <w:rFonts w:ascii="Open Sans" w:hAnsi="Open Sans" w:cs="Open Sans"/>
          <w:sz w:val="22"/>
          <w:szCs w:val="22"/>
        </w:rPr>
      </w:pPr>
      <w:r w:rsidRPr="0001222D">
        <w:rPr>
          <w:rFonts w:ascii="Open Sans" w:hAnsi="Open Sans" w:cs="Open Sans"/>
          <w:sz w:val="22"/>
          <w:szCs w:val="22"/>
        </w:rPr>
        <w:t xml:space="preserve">Fair employment practices, gender diversity, inclusive workplace policies, and respect for human rights </w:t>
      </w:r>
    </w:p>
    <w:p w14:paraId="6B25586B" w14:textId="77777777" w:rsidR="007172C7" w:rsidRPr="0001222D" w:rsidRDefault="00330A10" w:rsidP="00DB203F">
      <w:pPr>
        <w:pStyle w:val="ListParagraph"/>
        <w:numPr>
          <w:ilvl w:val="0"/>
          <w:numId w:val="15"/>
        </w:numPr>
        <w:jc w:val="both"/>
        <w:rPr>
          <w:rFonts w:ascii="Open Sans" w:hAnsi="Open Sans" w:cs="Open Sans"/>
          <w:sz w:val="22"/>
          <w:szCs w:val="22"/>
        </w:rPr>
      </w:pPr>
      <w:r w:rsidRPr="0001222D">
        <w:rPr>
          <w:rFonts w:ascii="Open Sans" w:hAnsi="Open Sans" w:cs="Open Sans"/>
          <w:b/>
          <w:bCs/>
          <w:sz w:val="22"/>
          <w:szCs w:val="22"/>
        </w:rPr>
        <w:t xml:space="preserve">Investment strategy: </w:t>
      </w:r>
      <w:r w:rsidR="007F7E9A" w:rsidRPr="0001222D">
        <w:rPr>
          <w:rFonts w:ascii="Open Sans" w:hAnsi="Open Sans" w:cs="Open Sans"/>
          <w:sz w:val="22"/>
          <w:szCs w:val="22"/>
        </w:rPr>
        <w:t>The Fund follows an investment strategy that primarily focuses on residential real estate assets across Europe. These assets may be existing properties, those currently under development, or those intended for future development. Additionally, the fund may invest in non-residential real estate assets that are planned to be converted into residential properties. The strategy focuses on delivering stable and long-term income for investors, while also exploring opportunities for value creation through asset development and conversion. This combined focus on income and growth makes the Fund ideal for investors seeking both reliable returns and capital appreciation.</w:t>
      </w:r>
    </w:p>
    <w:p w14:paraId="71AFEE0C" w14:textId="2BB0B976" w:rsidR="00AA32D2" w:rsidRPr="0001222D" w:rsidRDefault="00AA32D2" w:rsidP="00CD4492">
      <w:pPr>
        <w:pStyle w:val="ListParagraph"/>
        <w:numPr>
          <w:ilvl w:val="0"/>
          <w:numId w:val="15"/>
        </w:numPr>
        <w:jc w:val="both"/>
        <w:rPr>
          <w:rFonts w:ascii="Open Sans" w:hAnsi="Open Sans" w:cs="Open Sans"/>
          <w:sz w:val="22"/>
          <w:szCs w:val="22"/>
        </w:rPr>
      </w:pPr>
      <w:r w:rsidRPr="0001222D">
        <w:rPr>
          <w:rFonts w:ascii="Open Sans" w:hAnsi="Open Sans" w:cs="Open Sans"/>
          <w:b/>
          <w:bCs/>
          <w:sz w:val="22"/>
          <w:szCs w:val="22"/>
        </w:rPr>
        <w:t>Proportion of investments:</w:t>
      </w:r>
      <w:r w:rsidRPr="0001222D">
        <w:rPr>
          <w:rFonts w:ascii="Open Sans" w:hAnsi="Open Sans" w:cs="Open Sans"/>
          <w:sz w:val="22"/>
          <w:szCs w:val="22"/>
        </w:rPr>
        <w:t xml:space="preserve"> </w:t>
      </w:r>
      <w:r w:rsidR="00CD4492" w:rsidRPr="0001222D">
        <w:rPr>
          <w:rFonts w:ascii="Open Sans" w:hAnsi="Open Sans" w:cs="Open Sans"/>
          <w:sz w:val="22"/>
          <w:szCs w:val="22"/>
        </w:rPr>
        <w:t>The Investment Manager will seek to invest a minimum of 51% of the Fundin investments which promote the E/S characteristics in accordance with Article 8 of the SFDR.</w:t>
      </w:r>
      <w:r w:rsidR="00F450A0" w:rsidRPr="0001222D">
        <w:rPr>
          <w:rFonts w:ascii="Open Sans" w:hAnsi="Open Sans" w:cs="Open Sans"/>
          <w:sz w:val="22"/>
          <w:szCs w:val="22"/>
        </w:rPr>
        <w:t xml:space="preserve"> </w:t>
      </w:r>
    </w:p>
    <w:p w14:paraId="57BC95FD" w14:textId="2B1D9FF7" w:rsidR="00AA32D2" w:rsidRPr="0001222D" w:rsidRDefault="00AA32D2" w:rsidP="00AA32D2">
      <w:pPr>
        <w:pStyle w:val="ListParagraph"/>
        <w:numPr>
          <w:ilvl w:val="0"/>
          <w:numId w:val="15"/>
        </w:numPr>
        <w:jc w:val="both"/>
        <w:rPr>
          <w:rFonts w:ascii="Open Sans" w:hAnsi="Open Sans" w:cs="Open Sans"/>
          <w:sz w:val="22"/>
          <w:szCs w:val="22"/>
        </w:rPr>
      </w:pPr>
      <w:r w:rsidRPr="0001222D">
        <w:rPr>
          <w:rFonts w:ascii="Open Sans" w:hAnsi="Open Sans" w:cs="Open Sans"/>
          <w:b/>
          <w:bCs/>
          <w:sz w:val="22"/>
          <w:szCs w:val="22"/>
        </w:rPr>
        <w:t>Monitoring of environmental or social characteristics:</w:t>
      </w:r>
      <w:r w:rsidRPr="0001222D">
        <w:rPr>
          <w:rFonts w:ascii="Open Sans" w:hAnsi="Open Sans" w:cs="Open Sans"/>
          <w:sz w:val="22"/>
          <w:szCs w:val="22"/>
        </w:rPr>
        <w:t xml:space="preserve"> To evaluate the ESG performance of the </w:t>
      </w:r>
      <w:r w:rsidR="002A25AC">
        <w:rPr>
          <w:rFonts w:ascii="Open Sans" w:hAnsi="Open Sans" w:cs="Open Sans"/>
          <w:sz w:val="22"/>
          <w:szCs w:val="22"/>
        </w:rPr>
        <w:t>properties</w:t>
      </w:r>
      <w:r w:rsidRPr="0001222D">
        <w:rPr>
          <w:rFonts w:ascii="Open Sans" w:hAnsi="Open Sans" w:cs="Open Sans"/>
          <w:sz w:val="22"/>
          <w:szCs w:val="22"/>
        </w:rPr>
        <w:t xml:space="preserve">, a set of </w:t>
      </w:r>
      <w:r w:rsidR="001B5336">
        <w:rPr>
          <w:rFonts w:ascii="Open Sans" w:hAnsi="Open Sans" w:cs="Open Sans"/>
          <w:sz w:val="22"/>
          <w:szCs w:val="22"/>
        </w:rPr>
        <w:t xml:space="preserve">environmental </w:t>
      </w:r>
      <w:r w:rsidR="004002FE">
        <w:rPr>
          <w:rFonts w:ascii="Open Sans" w:hAnsi="Open Sans" w:cs="Open Sans"/>
          <w:sz w:val="22"/>
          <w:szCs w:val="22"/>
        </w:rPr>
        <w:t xml:space="preserve">and social </w:t>
      </w:r>
      <w:r w:rsidRPr="0001222D">
        <w:rPr>
          <w:rFonts w:ascii="Open Sans" w:hAnsi="Open Sans" w:cs="Open Sans"/>
          <w:sz w:val="22"/>
          <w:szCs w:val="22"/>
        </w:rPr>
        <w:t xml:space="preserve">indicators </w:t>
      </w:r>
      <w:r w:rsidR="004002FE">
        <w:rPr>
          <w:rFonts w:ascii="Open Sans" w:hAnsi="Open Sans" w:cs="Open Sans"/>
          <w:sz w:val="22"/>
          <w:szCs w:val="22"/>
        </w:rPr>
        <w:t>are</w:t>
      </w:r>
      <w:r w:rsidRPr="0001222D">
        <w:rPr>
          <w:rFonts w:ascii="Open Sans" w:hAnsi="Open Sans" w:cs="Open Sans"/>
          <w:sz w:val="22"/>
          <w:szCs w:val="22"/>
        </w:rPr>
        <w:t xml:space="preserve"> reviewed at least once a year</w:t>
      </w:r>
      <w:r w:rsidR="006376C5" w:rsidRPr="0001222D">
        <w:rPr>
          <w:rFonts w:ascii="Open Sans" w:hAnsi="Open Sans" w:cs="Open Sans"/>
          <w:sz w:val="22"/>
          <w:szCs w:val="22"/>
        </w:rPr>
        <w:t xml:space="preserve">. </w:t>
      </w:r>
      <w:r w:rsidR="00CF38E0" w:rsidRPr="0001222D">
        <w:rPr>
          <w:rFonts w:ascii="Open Sans" w:hAnsi="Open Sans" w:cs="Open Sans"/>
          <w:sz w:val="22"/>
          <w:szCs w:val="22"/>
        </w:rPr>
        <w:t xml:space="preserve">The Fund uses </w:t>
      </w:r>
      <w:r w:rsidR="00865350" w:rsidRPr="0001222D">
        <w:rPr>
          <w:rFonts w:ascii="Open Sans" w:hAnsi="Open Sans" w:cs="Open Sans"/>
          <w:sz w:val="22"/>
          <w:szCs w:val="22"/>
        </w:rPr>
        <w:t xml:space="preserve">these </w:t>
      </w:r>
      <w:r w:rsidR="00CF38E0" w:rsidRPr="0001222D">
        <w:rPr>
          <w:rFonts w:ascii="Open Sans" w:hAnsi="Open Sans" w:cs="Open Sans"/>
          <w:sz w:val="22"/>
          <w:szCs w:val="22"/>
        </w:rPr>
        <w:t xml:space="preserve">quantifiable indicators to </w:t>
      </w:r>
      <w:r w:rsidR="00CF38E0" w:rsidRPr="0001222D">
        <w:rPr>
          <w:rFonts w:ascii="Open Sans" w:hAnsi="Open Sans" w:cs="Open Sans"/>
          <w:sz w:val="22"/>
          <w:szCs w:val="22"/>
        </w:rPr>
        <w:lastRenderedPageBreak/>
        <w:t>measure the attainment of its promoted characteristics</w:t>
      </w:r>
      <w:r w:rsidR="00884D49" w:rsidRPr="0001222D">
        <w:rPr>
          <w:rFonts w:ascii="Open Sans" w:hAnsi="Open Sans" w:cs="Open Sans"/>
          <w:sz w:val="22"/>
          <w:szCs w:val="22"/>
        </w:rPr>
        <w:t>,</w:t>
      </w:r>
      <w:r w:rsidR="00865350" w:rsidRPr="0001222D">
        <w:rPr>
          <w:rFonts w:ascii="Open Sans" w:hAnsi="Open Sans" w:cs="Open Sans"/>
          <w:sz w:val="22"/>
          <w:szCs w:val="22"/>
        </w:rPr>
        <w:t xml:space="preserve"> </w:t>
      </w:r>
      <w:r w:rsidR="003842ED" w:rsidRPr="0001222D">
        <w:rPr>
          <w:rFonts w:ascii="Open Sans" w:hAnsi="Open Sans" w:cs="Open Sans"/>
          <w:sz w:val="22"/>
          <w:szCs w:val="22"/>
        </w:rPr>
        <w:t>which</w:t>
      </w:r>
      <w:r w:rsidR="00865350" w:rsidRPr="0001222D">
        <w:rPr>
          <w:rFonts w:ascii="Open Sans" w:hAnsi="Open Sans" w:cs="Open Sans"/>
          <w:sz w:val="22"/>
          <w:szCs w:val="22"/>
        </w:rPr>
        <w:t xml:space="preserve"> </w:t>
      </w:r>
      <w:r w:rsidR="00CF38E0" w:rsidRPr="0001222D">
        <w:rPr>
          <w:rFonts w:ascii="Open Sans" w:hAnsi="Open Sans" w:cs="Open Sans"/>
          <w:sz w:val="22"/>
          <w:szCs w:val="22"/>
        </w:rPr>
        <w:t xml:space="preserve">are collected and monitored at </w:t>
      </w:r>
      <w:r w:rsidR="003842ED" w:rsidRPr="0001222D">
        <w:rPr>
          <w:rFonts w:ascii="Open Sans" w:hAnsi="Open Sans" w:cs="Open Sans"/>
          <w:sz w:val="22"/>
          <w:szCs w:val="22"/>
        </w:rPr>
        <w:t xml:space="preserve">the </w:t>
      </w:r>
      <w:r w:rsidR="00CF38E0" w:rsidRPr="0001222D">
        <w:rPr>
          <w:rFonts w:ascii="Open Sans" w:hAnsi="Open Sans" w:cs="Open Sans"/>
          <w:sz w:val="22"/>
          <w:szCs w:val="22"/>
        </w:rPr>
        <w:t>asset level</w:t>
      </w:r>
      <w:r w:rsidR="00865350" w:rsidRPr="0001222D">
        <w:rPr>
          <w:rFonts w:ascii="Open Sans" w:hAnsi="Open Sans" w:cs="Open Sans"/>
          <w:sz w:val="22"/>
          <w:szCs w:val="22"/>
        </w:rPr>
        <w:t>.</w:t>
      </w:r>
      <w:r w:rsidR="00CF38E0" w:rsidRPr="0001222D">
        <w:rPr>
          <w:rFonts w:ascii="Open Sans" w:hAnsi="Open Sans" w:cs="Open Sans"/>
          <w:sz w:val="22"/>
          <w:szCs w:val="22"/>
        </w:rPr>
        <w:t xml:space="preserve"> </w:t>
      </w:r>
    </w:p>
    <w:p w14:paraId="1E800254" w14:textId="52B9D841" w:rsidR="00813F07" w:rsidRPr="0001222D" w:rsidRDefault="00AA32D2" w:rsidP="00F81F31">
      <w:pPr>
        <w:pStyle w:val="ListParagraph"/>
        <w:numPr>
          <w:ilvl w:val="0"/>
          <w:numId w:val="15"/>
        </w:numPr>
        <w:jc w:val="both"/>
        <w:rPr>
          <w:rFonts w:ascii="Open Sans" w:hAnsi="Open Sans" w:cs="Open Sans"/>
          <w:sz w:val="22"/>
          <w:szCs w:val="22"/>
        </w:rPr>
      </w:pPr>
      <w:r w:rsidRPr="0001222D">
        <w:rPr>
          <w:rFonts w:ascii="Open Sans" w:hAnsi="Open Sans" w:cs="Open Sans"/>
          <w:b/>
          <w:bCs/>
          <w:sz w:val="22"/>
          <w:szCs w:val="22"/>
        </w:rPr>
        <w:t>Methodologies</w:t>
      </w:r>
      <w:r w:rsidRPr="0001222D">
        <w:rPr>
          <w:rFonts w:ascii="Open Sans" w:hAnsi="Open Sans" w:cs="Open Sans"/>
          <w:sz w:val="22"/>
          <w:szCs w:val="22"/>
        </w:rPr>
        <w:t>:</w:t>
      </w:r>
      <w:r w:rsidR="00207069" w:rsidRPr="0001222D">
        <w:rPr>
          <w:rFonts w:ascii="Open Sans" w:hAnsi="Open Sans" w:cs="Open Sans"/>
          <w:sz w:val="22"/>
          <w:szCs w:val="22"/>
        </w:rPr>
        <w:t xml:space="preserve"> The </w:t>
      </w:r>
      <w:r w:rsidR="003842ED" w:rsidRPr="0001222D">
        <w:rPr>
          <w:rFonts w:ascii="Open Sans" w:hAnsi="Open Sans" w:cs="Open Sans"/>
          <w:sz w:val="22"/>
          <w:szCs w:val="22"/>
        </w:rPr>
        <w:t xml:space="preserve">Fund </w:t>
      </w:r>
      <w:r w:rsidR="00207069" w:rsidRPr="0001222D">
        <w:rPr>
          <w:rFonts w:ascii="Open Sans" w:hAnsi="Open Sans" w:cs="Open Sans"/>
          <w:sz w:val="22"/>
          <w:szCs w:val="22"/>
        </w:rPr>
        <w:t xml:space="preserve">promotes </w:t>
      </w:r>
      <w:r w:rsidR="007414BA" w:rsidRPr="0001222D">
        <w:rPr>
          <w:rFonts w:ascii="Open Sans" w:hAnsi="Open Sans" w:cs="Open Sans"/>
          <w:sz w:val="22"/>
          <w:szCs w:val="22"/>
        </w:rPr>
        <w:t>the E/S</w:t>
      </w:r>
      <w:r w:rsidR="00207069" w:rsidRPr="0001222D">
        <w:rPr>
          <w:rFonts w:ascii="Open Sans" w:hAnsi="Open Sans" w:cs="Open Sans"/>
          <w:sz w:val="22"/>
          <w:szCs w:val="22"/>
        </w:rPr>
        <w:t xml:space="preserve"> characteristics through </w:t>
      </w:r>
      <w:r w:rsidR="007414BA" w:rsidRPr="0001222D">
        <w:rPr>
          <w:rFonts w:ascii="Open Sans" w:hAnsi="Open Sans" w:cs="Open Sans"/>
          <w:sz w:val="22"/>
          <w:szCs w:val="22"/>
        </w:rPr>
        <w:t xml:space="preserve">the following </w:t>
      </w:r>
      <w:r w:rsidR="00207069" w:rsidRPr="0001222D">
        <w:rPr>
          <w:rFonts w:ascii="Open Sans" w:hAnsi="Open Sans" w:cs="Open Sans"/>
          <w:sz w:val="22"/>
          <w:szCs w:val="22"/>
        </w:rPr>
        <w:t>binding elements:</w:t>
      </w:r>
    </w:p>
    <w:p w14:paraId="7B0AF756" w14:textId="73879C4E" w:rsidR="00782740" w:rsidRPr="0001222D" w:rsidRDefault="00782740" w:rsidP="00782740">
      <w:pPr>
        <w:pStyle w:val="ListParagraph"/>
        <w:numPr>
          <w:ilvl w:val="1"/>
          <w:numId w:val="21"/>
        </w:numPr>
        <w:rPr>
          <w:rFonts w:ascii="Open Sans" w:hAnsi="Open Sans" w:cs="Open Sans"/>
          <w:sz w:val="22"/>
          <w:szCs w:val="22"/>
        </w:rPr>
      </w:pPr>
      <w:r w:rsidRPr="0001222D">
        <w:rPr>
          <w:rFonts w:ascii="Open Sans" w:hAnsi="Open Sans" w:cs="Open Sans"/>
          <w:sz w:val="22"/>
          <w:szCs w:val="22"/>
        </w:rPr>
        <w:t>Pre-investment processes, which include exclusion list screening, ESG due diligence over developers, property and asset managers and where relevant contractors or operating partners and Technical Building Assessments (TBA)</w:t>
      </w:r>
      <w:r w:rsidR="00146C4A">
        <w:rPr>
          <w:rFonts w:ascii="Open Sans" w:hAnsi="Open Sans" w:cs="Open Sans"/>
          <w:sz w:val="22"/>
          <w:szCs w:val="22"/>
        </w:rPr>
        <w:t xml:space="preserve"> including enviro</w:t>
      </w:r>
      <w:r w:rsidR="00E42B31">
        <w:rPr>
          <w:rFonts w:ascii="Open Sans" w:hAnsi="Open Sans" w:cs="Open Sans"/>
          <w:sz w:val="22"/>
          <w:szCs w:val="22"/>
        </w:rPr>
        <w:t>n</w:t>
      </w:r>
      <w:r w:rsidR="00146C4A">
        <w:rPr>
          <w:rFonts w:ascii="Open Sans" w:hAnsi="Open Sans" w:cs="Open Sans"/>
          <w:sz w:val="22"/>
          <w:szCs w:val="22"/>
        </w:rPr>
        <w:t>mental site assessments</w:t>
      </w:r>
      <w:r w:rsidR="00146C4A" w:rsidRPr="00146C4A">
        <w:rPr>
          <w:rFonts w:ascii="Open Sans" w:hAnsi="Open Sans" w:cs="Open Sans"/>
          <w:sz w:val="22"/>
          <w:szCs w:val="22"/>
          <w:lang w:val="en-US"/>
        </w:rPr>
        <w:t xml:space="preserve"> </w:t>
      </w:r>
      <w:r w:rsidR="00146C4A">
        <w:rPr>
          <w:rFonts w:ascii="Open Sans" w:hAnsi="Open Sans" w:cs="Open Sans"/>
          <w:sz w:val="22"/>
          <w:szCs w:val="22"/>
          <w:lang w:val="en-US"/>
        </w:rPr>
        <w:t>(ESA)</w:t>
      </w:r>
      <w:r w:rsidRPr="0001222D">
        <w:rPr>
          <w:rFonts w:ascii="Open Sans" w:hAnsi="Open Sans" w:cs="Open Sans"/>
          <w:sz w:val="22"/>
          <w:szCs w:val="22"/>
        </w:rPr>
        <w:t xml:space="preserve">; and </w:t>
      </w:r>
    </w:p>
    <w:p w14:paraId="2FE61839" w14:textId="466D2C7A" w:rsidR="00813F07" w:rsidRPr="0001222D" w:rsidRDefault="00782740" w:rsidP="00782740">
      <w:pPr>
        <w:pStyle w:val="ListParagraph"/>
        <w:numPr>
          <w:ilvl w:val="1"/>
          <w:numId w:val="21"/>
        </w:numPr>
        <w:rPr>
          <w:rFonts w:ascii="Open Sans" w:hAnsi="Open Sans" w:cs="Open Sans"/>
          <w:sz w:val="22"/>
          <w:szCs w:val="22"/>
        </w:rPr>
      </w:pPr>
      <w:r w:rsidRPr="0001222D">
        <w:rPr>
          <w:rFonts w:ascii="Open Sans" w:hAnsi="Open Sans" w:cs="Open Sans"/>
          <w:sz w:val="22"/>
          <w:szCs w:val="22"/>
        </w:rPr>
        <w:t>During the holding period of the asset, ongoing monitoring</w:t>
      </w:r>
      <w:r w:rsidR="002F4704">
        <w:rPr>
          <w:rFonts w:ascii="Open Sans" w:hAnsi="Open Sans" w:cs="Open Sans"/>
          <w:sz w:val="22"/>
          <w:szCs w:val="22"/>
        </w:rPr>
        <w:t xml:space="preserve"> and</w:t>
      </w:r>
      <w:r w:rsidRPr="0001222D">
        <w:rPr>
          <w:rFonts w:ascii="Open Sans" w:hAnsi="Open Sans" w:cs="Open Sans"/>
          <w:sz w:val="22"/>
          <w:szCs w:val="22"/>
        </w:rPr>
        <w:t xml:space="preserve"> data collection that will aim to improve upon the identified characteristics. </w:t>
      </w:r>
    </w:p>
    <w:p w14:paraId="15FC2DCB" w14:textId="2EBA49E2" w:rsidR="00F81F31" w:rsidRPr="0001222D" w:rsidRDefault="00F81F31" w:rsidP="00F81F31">
      <w:pPr>
        <w:pStyle w:val="ListParagraph"/>
        <w:numPr>
          <w:ilvl w:val="0"/>
          <w:numId w:val="15"/>
        </w:numPr>
        <w:jc w:val="both"/>
        <w:rPr>
          <w:rFonts w:ascii="Open Sans" w:hAnsi="Open Sans" w:cs="Open Sans"/>
          <w:sz w:val="22"/>
          <w:szCs w:val="22"/>
        </w:rPr>
      </w:pPr>
      <w:r w:rsidRPr="0001222D">
        <w:rPr>
          <w:rFonts w:ascii="Open Sans" w:hAnsi="Open Sans" w:cs="Open Sans"/>
          <w:b/>
          <w:bCs/>
          <w:sz w:val="22"/>
          <w:szCs w:val="22"/>
        </w:rPr>
        <w:t>Data sources and processing</w:t>
      </w:r>
      <w:r w:rsidRPr="0001222D">
        <w:rPr>
          <w:rFonts w:ascii="Open Sans" w:hAnsi="Open Sans" w:cs="Open Sans"/>
          <w:sz w:val="22"/>
          <w:szCs w:val="22"/>
        </w:rPr>
        <w:t xml:space="preserve">: </w:t>
      </w:r>
      <w:r w:rsidR="00E05F34" w:rsidRPr="00E05F34">
        <w:rPr>
          <w:rFonts w:ascii="Open Sans" w:hAnsi="Open Sans" w:cs="Open Sans"/>
          <w:sz w:val="22"/>
          <w:szCs w:val="22"/>
        </w:rPr>
        <w:t>During due diligence, data is collected using standardized questionnaires and physical walkthroughs of the assets. Once in the portfolio, ongoing data is gathered via meter readings, environmental systems, and third-party platforms if needed. The Petrus team ensures data quality, accesses missing or unprovided data, and minimizes estimated data use wherever possible. Data processing is digital and supported by third-party platforms when necessary, ensuring accuracy and reliability throughout the asset management process.</w:t>
      </w:r>
    </w:p>
    <w:p w14:paraId="3A0777DB" w14:textId="5A8578FC" w:rsidR="00B26A2D" w:rsidRPr="0001222D" w:rsidRDefault="00F81F31" w:rsidP="00067A52">
      <w:pPr>
        <w:pStyle w:val="ListParagraph"/>
        <w:numPr>
          <w:ilvl w:val="0"/>
          <w:numId w:val="15"/>
        </w:numPr>
        <w:jc w:val="both"/>
        <w:rPr>
          <w:rFonts w:ascii="Open Sans" w:hAnsi="Open Sans" w:cs="Open Sans"/>
          <w:sz w:val="22"/>
          <w:szCs w:val="22"/>
        </w:rPr>
      </w:pPr>
      <w:r w:rsidRPr="0001222D">
        <w:rPr>
          <w:rFonts w:ascii="Open Sans" w:hAnsi="Open Sans" w:cs="Open Sans"/>
          <w:b/>
          <w:bCs/>
          <w:sz w:val="22"/>
          <w:szCs w:val="22"/>
        </w:rPr>
        <w:t>Limitations to methodologies and data</w:t>
      </w:r>
      <w:r w:rsidRPr="0001222D">
        <w:rPr>
          <w:rFonts w:ascii="Open Sans" w:hAnsi="Open Sans" w:cs="Open Sans"/>
          <w:sz w:val="22"/>
          <w:szCs w:val="22"/>
        </w:rPr>
        <w:t xml:space="preserve">: </w:t>
      </w:r>
      <w:r w:rsidR="00C87200" w:rsidRPr="0001222D">
        <w:rPr>
          <w:rFonts w:ascii="Open Sans" w:hAnsi="Open Sans" w:cs="Open Sans"/>
          <w:sz w:val="22"/>
          <w:szCs w:val="22"/>
        </w:rPr>
        <w:t xml:space="preserve">There are inherent limitations of methodologies used to assess ESG performance including </w:t>
      </w:r>
      <w:r w:rsidR="00DD3C4C" w:rsidRPr="0001222D">
        <w:rPr>
          <w:rFonts w:ascii="Open Sans" w:hAnsi="Open Sans" w:cs="Open Sans"/>
          <w:sz w:val="22"/>
          <w:szCs w:val="22"/>
        </w:rPr>
        <w:t xml:space="preserve">lack of data availability, limited capacity to measure or report from the business/operating partners, human error in the provision of data, lack of reliability, </w:t>
      </w:r>
      <w:r w:rsidR="001F40A0">
        <w:rPr>
          <w:rFonts w:ascii="Open Sans" w:hAnsi="Open Sans" w:cs="Open Sans"/>
          <w:sz w:val="22"/>
          <w:szCs w:val="22"/>
        </w:rPr>
        <w:t xml:space="preserve">and </w:t>
      </w:r>
      <w:r w:rsidR="00DD3C4C" w:rsidRPr="0001222D">
        <w:rPr>
          <w:rFonts w:ascii="Open Sans" w:hAnsi="Open Sans" w:cs="Open Sans"/>
          <w:sz w:val="22"/>
          <w:szCs w:val="22"/>
        </w:rPr>
        <w:t>lack of consistency between the specificities of each installation.</w:t>
      </w:r>
      <w:r w:rsidRPr="0001222D">
        <w:rPr>
          <w:rFonts w:ascii="Open Sans" w:hAnsi="Open Sans" w:cs="Open Sans"/>
          <w:sz w:val="22"/>
          <w:szCs w:val="22"/>
        </w:rPr>
        <w:t xml:space="preserve"> </w:t>
      </w:r>
      <w:r w:rsidR="00EC56F4" w:rsidRPr="0001222D">
        <w:rPr>
          <w:rFonts w:ascii="Open Sans" w:hAnsi="Open Sans" w:cs="Open Sans"/>
          <w:sz w:val="22"/>
          <w:szCs w:val="22"/>
        </w:rPr>
        <w:t xml:space="preserve">The Fund </w:t>
      </w:r>
      <w:r w:rsidRPr="0001222D">
        <w:rPr>
          <w:rFonts w:ascii="Open Sans" w:hAnsi="Open Sans" w:cs="Open Sans"/>
          <w:sz w:val="22"/>
          <w:szCs w:val="22"/>
        </w:rPr>
        <w:t>expects to improve data quality and minimi</w:t>
      </w:r>
      <w:r w:rsidR="003416A9" w:rsidRPr="0001222D">
        <w:rPr>
          <w:rFonts w:ascii="Open Sans" w:hAnsi="Open Sans" w:cs="Open Sans"/>
          <w:sz w:val="22"/>
          <w:szCs w:val="22"/>
        </w:rPr>
        <w:t>s</w:t>
      </w:r>
      <w:r w:rsidRPr="0001222D">
        <w:rPr>
          <w:rFonts w:ascii="Open Sans" w:hAnsi="Open Sans" w:cs="Open Sans"/>
          <w:sz w:val="22"/>
          <w:szCs w:val="22"/>
        </w:rPr>
        <w:t xml:space="preserve">e the limitations mentioned above as the reporting process </w:t>
      </w:r>
      <w:r w:rsidR="001F40A0">
        <w:rPr>
          <w:rFonts w:ascii="Open Sans" w:hAnsi="Open Sans" w:cs="Open Sans"/>
          <w:sz w:val="22"/>
          <w:szCs w:val="22"/>
        </w:rPr>
        <w:t xml:space="preserve">improves </w:t>
      </w:r>
      <w:r w:rsidR="00EC56F4" w:rsidRPr="0001222D">
        <w:rPr>
          <w:rFonts w:ascii="Open Sans" w:hAnsi="Open Sans" w:cs="Open Sans"/>
          <w:sz w:val="22"/>
          <w:szCs w:val="22"/>
        </w:rPr>
        <w:t>over time</w:t>
      </w:r>
      <w:r w:rsidRPr="0001222D">
        <w:rPr>
          <w:rFonts w:ascii="Open Sans" w:hAnsi="Open Sans" w:cs="Open Sans"/>
          <w:sz w:val="22"/>
          <w:szCs w:val="22"/>
        </w:rPr>
        <w:t>.</w:t>
      </w:r>
    </w:p>
    <w:p w14:paraId="17622A03" w14:textId="580EBBE5" w:rsidR="00370CB5" w:rsidRPr="0001222D" w:rsidRDefault="00F81F31" w:rsidP="00132CA3">
      <w:pPr>
        <w:pStyle w:val="ListParagraph"/>
        <w:numPr>
          <w:ilvl w:val="0"/>
          <w:numId w:val="15"/>
        </w:numPr>
        <w:jc w:val="both"/>
        <w:rPr>
          <w:rFonts w:ascii="Open Sans" w:hAnsi="Open Sans" w:cs="Open Sans"/>
          <w:sz w:val="22"/>
          <w:szCs w:val="22"/>
        </w:rPr>
      </w:pPr>
      <w:r w:rsidRPr="0001222D">
        <w:rPr>
          <w:rFonts w:ascii="Open Sans" w:hAnsi="Open Sans" w:cs="Open Sans"/>
          <w:b/>
          <w:bCs/>
          <w:sz w:val="22"/>
          <w:szCs w:val="22"/>
        </w:rPr>
        <w:t>Due diligence</w:t>
      </w:r>
      <w:r w:rsidRPr="0001222D">
        <w:rPr>
          <w:rFonts w:ascii="Open Sans" w:hAnsi="Open Sans" w:cs="Open Sans"/>
          <w:sz w:val="22"/>
          <w:szCs w:val="22"/>
        </w:rPr>
        <w:t xml:space="preserve">: </w:t>
      </w:r>
      <w:r w:rsidR="00AE13DB" w:rsidRPr="0001222D">
        <w:rPr>
          <w:rFonts w:ascii="Open Sans" w:hAnsi="Open Sans" w:cs="Open Sans"/>
          <w:sz w:val="22"/>
          <w:szCs w:val="22"/>
        </w:rPr>
        <w:t xml:space="preserve">The Fund’s </w:t>
      </w:r>
      <w:r w:rsidRPr="0001222D">
        <w:rPr>
          <w:rFonts w:ascii="Open Sans" w:hAnsi="Open Sans" w:cs="Open Sans"/>
          <w:sz w:val="22"/>
          <w:szCs w:val="22"/>
        </w:rPr>
        <w:t xml:space="preserve">due diligence process allows </w:t>
      </w:r>
      <w:r w:rsidR="00AE13DB" w:rsidRPr="0001222D">
        <w:rPr>
          <w:rFonts w:ascii="Open Sans" w:hAnsi="Open Sans" w:cs="Open Sans"/>
          <w:sz w:val="22"/>
          <w:szCs w:val="22"/>
        </w:rPr>
        <w:t xml:space="preserve">the Investment Manager </w:t>
      </w:r>
      <w:r w:rsidRPr="0001222D">
        <w:rPr>
          <w:rFonts w:ascii="Open Sans" w:hAnsi="Open Sans" w:cs="Open Sans"/>
          <w:sz w:val="22"/>
          <w:szCs w:val="22"/>
        </w:rPr>
        <w:t xml:space="preserve">to identify, prior to the investment, the ESG risks and opportunities of the </w:t>
      </w:r>
      <w:r w:rsidR="004E32DB" w:rsidRPr="0001222D">
        <w:rPr>
          <w:rFonts w:ascii="Open Sans" w:hAnsi="Open Sans" w:cs="Open Sans"/>
          <w:sz w:val="22"/>
          <w:szCs w:val="22"/>
        </w:rPr>
        <w:t>assets intended for investment</w:t>
      </w:r>
      <w:r w:rsidRPr="0001222D">
        <w:rPr>
          <w:rFonts w:ascii="Open Sans" w:hAnsi="Open Sans" w:cs="Open Sans"/>
          <w:sz w:val="22"/>
          <w:szCs w:val="22"/>
        </w:rPr>
        <w:t xml:space="preserve">. </w:t>
      </w:r>
      <w:r w:rsidR="00370CB5" w:rsidRPr="0001222D">
        <w:rPr>
          <w:rFonts w:ascii="Open Sans" w:hAnsi="Open Sans" w:cs="Open Sans"/>
          <w:sz w:val="22"/>
          <w:szCs w:val="22"/>
        </w:rPr>
        <w:t>For the asset under consideration, an ESG checklist is completed</w:t>
      </w:r>
      <w:r w:rsidR="00E318A3" w:rsidRPr="0001222D">
        <w:rPr>
          <w:rFonts w:ascii="Open Sans" w:hAnsi="Open Sans" w:cs="Open Sans"/>
          <w:sz w:val="22"/>
          <w:szCs w:val="22"/>
        </w:rPr>
        <w:t xml:space="preserve"> where s</w:t>
      </w:r>
      <w:r w:rsidR="00370CB5" w:rsidRPr="0001222D">
        <w:rPr>
          <w:rFonts w:ascii="Open Sans" w:hAnsi="Open Sans" w:cs="Open Sans"/>
          <w:sz w:val="22"/>
          <w:szCs w:val="22"/>
        </w:rPr>
        <w:t>pecific questions are answered depending on whether the investment is an acquisition or new build, including (i) Energy, water and waste efficiency of the asset (ii) Affordable and social housing (iii) Human rights and labour standards</w:t>
      </w:r>
      <w:r w:rsidR="00132CA3" w:rsidRPr="0001222D">
        <w:rPr>
          <w:rFonts w:ascii="Open Sans" w:hAnsi="Open Sans" w:cs="Open Sans"/>
          <w:sz w:val="22"/>
          <w:szCs w:val="22"/>
        </w:rPr>
        <w:t xml:space="preserve">. </w:t>
      </w:r>
      <w:r w:rsidR="00370CB5" w:rsidRPr="0001222D">
        <w:rPr>
          <w:rFonts w:ascii="Open Sans" w:hAnsi="Open Sans" w:cs="Open Sans"/>
          <w:sz w:val="22"/>
          <w:szCs w:val="22"/>
        </w:rPr>
        <w:t>Additionally, the asset is evaluated with specific screening criteria to assess good governance practices, including sound management structures, employee relations, staff remuneration, and tax compliance.</w:t>
      </w:r>
    </w:p>
    <w:p w14:paraId="146F5EDF" w14:textId="13E18954" w:rsidR="00F756FA" w:rsidRPr="0001222D" w:rsidRDefault="0053172A" w:rsidP="00884D49">
      <w:pPr>
        <w:pStyle w:val="ListParagraph"/>
        <w:numPr>
          <w:ilvl w:val="0"/>
          <w:numId w:val="15"/>
        </w:numPr>
        <w:jc w:val="both"/>
        <w:rPr>
          <w:rFonts w:ascii="Open Sans" w:hAnsi="Open Sans" w:cs="Open Sans"/>
          <w:sz w:val="22"/>
          <w:szCs w:val="22"/>
        </w:rPr>
      </w:pPr>
      <w:r w:rsidRPr="0001222D">
        <w:rPr>
          <w:rFonts w:ascii="Open Sans" w:hAnsi="Open Sans" w:cs="Open Sans"/>
          <w:b/>
          <w:bCs/>
          <w:sz w:val="22"/>
          <w:szCs w:val="22"/>
        </w:rPr>
        <w:t>Engagement policies</w:t>
      </w:r>
      <w:r w:rsidRPr="0001222D">
        <w:rPr>
          <w:rFonts w:ascii="Open Sans" w:hAnsi="Open Sans" w:cs="Open Sans"/>
          <w:sz w:val="22"/>
          <w:szCs w:val="22"/>
        </w:rPr>
        <w:t xml:space="preserve">: </w:t>
      </w:r>
      <w:r w:rsidR="006A449B" w:rsidRPr="0001222D">
        <w:rPr>
          <w:rFonts w:ascii="Open Sans" w:hAnsi="Open Sans" w:cs="Open Sans"/>
          <w:sz w:val="22"/>
          <w:szCs w:val="22"/>
        </w:rPr>
        <w:t xml:space="preserve">The </w:t>
      </w:r>
      <w:r w:rsidR="00D849CF" w:rsidRPr="0001222D">
        <w:rPr>
          <w:rFonts w:ascii="Open Sans" w:hAnsi="Open Sans" w:cs="Open Sans"/>
          <w:sz w:val="22"/>
          <w:szCs w:val="22"/>
        </w:rPr>
        <w:t>i</w:t>
      </w:r>
      <w:r w:rsidR="006A449B" w:rsidRPr="0001222D">
        <w:rPr>
          <w:rFonts w:ascii="Open Sans" w:hAnsi="Open Sans" w:cs="Open Sans"/>
          <w:sz w:val="22"/>
          <w:szCs w:val="22"/>
        </w:rPr>
        <w:t xml:space="preserve">nvestment </w:t>
      </w:r>
      <w:r w:rsidR="00D849CF" w:rsidRPr="0001222D">
        <w:rPr>
          <w:rFonts w:ascii="Open Sans" w:hAnsi="Open Sans" w:cs="Open Sans"/>
          <w:sz w:val="22"/>
          <w:szCs w:val="22"/>
        </w:rPr>
        <w:t xml:space="preserve">team </w:t>
      </w:r>
      <w:r w:rsidR="006A449B" w:rsidRPr="0001222D">
        <w:rPr>
          <w:rFonts w:ascii="Open Sans" w:hAnsi="Open Sans" w:cs="Open Sans"/>
          <w:sz w:val="22"/>
          <w:szCs w:val="22"/>
        </w:rPr>
        <w:t xml:space="preserve">works with property managers and </w:t>
      </w:r>
      <w:r w:rsidR="002C3840" w:rsidRPr="0001222D">
        <w:rPr>
          <w:rFonts w:ascii="Open Sans" w:hAnsi="Open Sans" w:cs="Open Sans"/>
          <w:sz w:val="22"/>
          <w:szCs w:val="22"/>
        </w:rPr>
        <w:t xml:space="preserve">business/operating </w:t>
      </w:r>
      <w:r w:rsidR="006A449B" w:rsidRPr="0001222D">
        <w:rPr>
          <w:rFonts w:ascii="Open Sans" w:hAnsi="Open Sans" w:cs="Open Sans"/>
          <w:sz w:val="22"/>
          <w:szCs w:val="22"/>
        </w:rPr>
        <w:t xml:space="preserve">partners to </w:t>
      </w:r>
      <w:r w:rsidR="0081159E">
        <w:rPr>
          <w:rFonts w:ascii="Open Sans" w:hAnsi="Open Sans" w:cs="Open Sans"/>
          <w:sz w:val="22"/>
          <w:szCs w:val="22"/>
        </w:rPr>
        <w:t xml:space="preserve">assess </w:t>
      </w:r>
      <w:r w:rsidR="00073383">
        <w:rPr>
          <w:rFonts w:ascii="Open Sans" w:hAnsi="Open Sans" w:cs="Open Sans"/>
          <w:sz w:val="22"/>
          <w:szCs w:val="22"/>
        </w:rPr>
        <w:t xml:space="preserve">governance practices, </w:t>
      </w:r>
      <w:r w:rsidR="006577E6" w:rsidRPr="0001222D">
        <w:rPr>
          <w:rFonts w:ascii="Open Sans" w:hAnsi="Open Sans" w:cs="Open Sans"/>
          <w:sz w:val="22"/>
          <w:szCs w:val="22"/>
        </w:rPr>
        <w:t xml:space="preserve">collect </w:t>
      </w:r>
      <w:r w:rsidR="00DB7D31" w:rsidRPr="0001222D">
        <w:rPr>
          <w:rFonts w:ascii="Open Sans" w:hAnsi="Open Sans" w:cs="Open Sans"/>
          <w:sz w:val="22"/>
          <w:szCs w:val="22"/>
        </w:rPr>
        <w:t xml:space="preserve">identified </w:t>
      </w:r>
      <w:r w:rsidR="006577E6" w:rsidRPr="0001222D">
        <w:rPr>
          <w:rFonts w:ascii="Open Sans" w:hAnsi="Open Sans" w:cs="Open Sans"/>
          <w:sz w:val="22"/>
          <w:szCs w:val="22"/>
        </w:rPr>
        <w:t xml:space="preserve">KPIs </w:t>
      </w:r>
      <w:r w:rsidR="00C642CF" w:rsidRPr="0001222D">
        <w:rPr>
          <w:rFonts w:ascii="Open Sans" w:hAnsi="Open Sans" w:cs="Open Sans"/>
          <w:sz w:val="22"/>
          <w:szCs w:val="22"/>
        </w:rPr>
        <w:t xml:space="preserve">and </w:t>
      </w:r>
      <w:r w:rsidR="006A449B" w:rsidRPr="0001222D">
        <w:rPr>
          <w:rFonts w:ascii="Open Sans" w:hAnsi="Open Sans" w:cs="Open Sans"/>
          <w:sz w:val="22"/>
          <w:szCs w:val="22"/>
        </w:rPr>
        <w:t xml:space="preserve">provide information aimed at improving </w:t>
      </w:r>
      <w:r w:rsidR="00DB7D31" w:rsidRPr="0001222D">
        <w:rPr>
          <w:rFonts w:ascii="Open Sans" w:hAnsi="Open Sans" w:cs="Open Sans"/>
          <w:sz w:val="22"/>
          <w:szCs w:val="22"/>
        </w:rPr>
        <w:t xml:space="preserve">the assets’ </w:t>
      </w:r>
      <w:r w:rsidR="006A449B" w:rsidRPr="0001222D">
        <w:rPr>
          <w:rFonts w:ascii="Open Sans" w:hAnsi="Open Sans" w:cs="Open Sans"/>
          <w:sz w:val="22"/>
          <w:szCs w:val="22"/>
        </w:rPr>
        <w:t xml:space="preserve">ESG performance. </w:t>
      </w:r>
    </w:p>
    <w:p w14:paraId="4858FF3B" w14:textId="49DE9BCC" w:rsidR="00FB1D6E" w:rsidRDefault="0053172A" w:rsidP="0001222D">
      <w:pPr>
        <w:pStyle w:val="ListParagraph"/>
        <w:numPr>
          <w:ilvl w:val="0"/>
          <w:numId w:val="15"/>
        </w:numPr>
        <w:jc w:val="both"/>
        <w:rPr>
          <w:rFonts w:ascii="Open Sans" w:hAnsi="Open Sans" w:cs="Open Sans"/>
          <w:sz w:val="22"/>
          <w:szCs w:val="22"/>
        </w:rPr>
      </w:pPr>
      <w:r w:rsidRPr="0001222D">
        <w:rPr>
          <w:rFonts w:ascii="Open Sans" w:hAnsi="Open Sans" w:cs="Open Sans"/>
          <w:b/>
          <w:bCs/>
          <w:sz w:val="22"/>
          <w:szCs w:val="22"/>
        </w:rPr>
        <w:t>Designated benchmark index:</w:t>
      </w:r>
      <w:r w:rsidRPr="0001222D">
        <w:rPr>
          <w:rFonts w:ascii="Open Sans" w:hAnsi="Open Sans" w:cs="Open Sans"/>
          <w:sz w:val="22"/>
          <w:szCs w:val="22"/>
        </w:rPr>
        <w:t xml:space="preserve"> No benchmark index has been designated to achieve the </w:t>
      </w:r>
      <w:r w:rsidR="00CE47A7" w:rsidRPr="0001222D">
        <w:rPr>
          <w:rFonts w:ascii="Open Sans" w:hAnsi="Open Sans" w:cs="Open Sans"/>
          <w:sz w:val="22"/>
          <w:szCs w:val="22"/>
        </w:rPr>
        <w:t xml:space="preserve">E/S </w:t>
      </w:r>
      <w:r w:rsidRPr="0001222D">
        <w:rPr>
          <w:rFonts w:ascii="Open Sans" w:hAnsi="Open Sans" w:cs="Open Sans"/>
          <w:sz w:val="22"/>
          <w:szCs w:val="22"/>
        </w:rPr>
        <w:t xml:space="preserve">characteristics promoted by </w:t>
      </w:r>
      <w:r w:rsidR="00CE47A7" w:rsidRPr="0001222D">
        <w:rPr>
          <w:rFonts w:ascii="Open Sans" w:hAnsi="Open Sans" w:cs="Open Sans"/>
          <w:sz w:val="22"/>
          <w:szCs w:val="22"/>
        </w:rPr>
        <w:t>the Fund.</w:t>
      </w:r>
    </w:p>
    <w:p w14:paraId="44A22887" w14:textId="77777777" w:rsidR="003B6550" w:rsidRPr="00FB1D6E" w:rsidRDefault="003B6550" w:rsidP="003B6550">
      <w:pPr>
        <w:pStyle w:val="ListParagraph"/>
        <w:jc w:val="both"/>
        <w:rPr>
          <w:rFonts w:ascii="Open Sans" w:hAnsi="Open Sans" w:cs="Open Sans"/>
          <w:sz w:val="22"/>
          <w:szCs w:val="22"/>
        </w:rPr>
      </w:pPr>
    </w:p>
    <w:tbl>
      <w:tblPr>
        <w:tblStyle w:val="TableGrid"/>
        <w:tblW w:w="9019" w:type="dxa"/>
        <w:tblInd w:w="-5" w:type="dxa"/>
        <w:tblBorders>
          <w:insideH w:val="none" w:sz="0" w:space="0" w:color="auto"/>
          <w:insideV w:val="none" w:sz="0" w:space="0" w:color="auto"/>
        </w:tblBorders>
        <w:shd w:val="clear" w:color="auto" w:fill="DAE9F7" w:themeFill="text2" w:themeFillTint="1A"/>
        <w:tblLook w:val="04A0" w:firstRow="1" w:lastRow="0" w:firstColumn="1" w:lastColumn="0" w:noHBand="0" w:noVBand="1"/>
      </w:tblPr>
      <w:tblGrid>
        <w:gridCol w:w="9019"/>
      </w:tblGrid>
      <w:tr w:rsidR="000A276C" w:rsidRPr="006800DA" w14:paraId="5233A8B6" w14:textId="77777777" w:rsidTr="00904DEF">
        <w:tc>
          <w:tcPr>
            <w:tcW w:w="9019" w:type="dxa"/>
            <w:shd w:val="clear" w:color="auto" w:fill="DAE9F7" w:themeFill="text2" w:themeFillTint="1A"/>
          </w:tcPr>
          <w:p w14:paraId="4B27D56E" w14:textId="3BFFCD4F" w:rsidR="000A276C" w:rsidRPr="006800DA" w:rsidRDefault="00A62E90" w:rsidP="003B6550">
            <w:pPr>
              <w:pStyle w:val="ListParagraph"/>
              <w:numPr>
                <w:ilvl w:val="0"/>
                <w:numId w:val="21"/>
              </w:numPr>
              <w:spacing w:after="120"/>
              <w:rPr>
                <w:rFonts w:ascii="Open Sans" w:hAnsi="Open Sans" w:cs="Open Sans"/>
                <w:b/>
                <w:bCs/>
                <w:sz w:val="24"/>
                <w:szCs w:val="24"/>
              </w:rPr>
            </w:pPr>
            <w:r w:rsidRPr="006800DA">
              <w:rPr>
                <w:rFonts w:ascii="Open Sans" w:hAnsi="Open Sans" w:cs="Open Sans"/>
                <w:b/>
                <w:bCs/>
                <w:sz w:val="24"/>
                <w:szCs w:val="24"/>
              </w:rPr>
              <w:lastRenderedPageBreak/>
              <w:t>No sustainable investment objective</w:t>
            </w:r>
          </w:p>
        </w:tc>
      </w:tr>
    </w:tbl>
    <w:p w14:paraId="0B6D00BF" w14:textId="6772C8BF" w:rsidR="002B4288" w:rsidRDefault="002B4288" w:rsidP="00B762C4">
      <w:pPr>
        <w:spacing w:before="240"/>
        <w:jc w:val="both"/>
        <w:rPr>
          <w:rFonts w:ascii="Open Sans" w:hAnsi="Open Sans" w:cs="Open Sans"/>
          <w:sz w:val="22"/>
          <w:szCs w:val="22"/>
        </w:rPr>
      </w:pPr>
      <w:r w:rsidRPr="0001222D">
        <w:rPr>
          <w:rFonts w:ascii="Open Sans" w:hAnsi="Open Sans" w:cs="Open Sans"/>
          <w:sz w:val="22"/>
          <w:szCs w:val="22"/>
        </w:rPr>
        <w:t xml:space="preserve">This </w:t>
      </w:r>
      <w:r w:rsidR="00D52C00" w:rsidRPr="0001222D">
        <w:rPr>
          <w:rFonts w:ascii="Open Sans" w:hAnsi="Open Sans" w:cs="Open Sans"/>
          <w:sz w:val="22"/>
          <w:szCs w:val="22"/>
        </w:rPr>
        <w:t xml:space="preserve">Fund </w:t>
      </w:r>
      <w:r w:rsidRPr="0001222D">
        <w:rPr>
          <w:rFonts w:ascii="Open Sans" w:hAnsi="Open Sans" w:cs="Open Sans"/>
          <w:sz w:val="22"/>
          <w:szCs w:val="22"/>
        </w:rPr>
        <w:t xml:space="preserve">promotes environmental or social </w:t>
      </w:r>
      <w:r w:rsidR="00DC0A68" w:rsidRPr="0001222D">
        <w:rPr>
          <w:rFonts w:ascii="Open Sans" w:hAnsi="Open Sans" w:cs="Open Sans"/>
          <w:sz w:val="22"/>
          <w:szCs w:val="22"/>
        </w:rPr>
        <w:t>characteristics but</w:t>
      </w:r>
      <w:r w:rsidRPr="0001222D">
        <w:rPr>
          <w:rFonts w:ascii="Open Sans" w:hAnsi="Open Sans" w:cs="Open Sans"/>
          <w:sz w:val="22"/>
          <w:szCs w:val="22"/>
        </w:rPr>
        <w:t xml:space="preserve"> does not have </w:t>
      </w:r>
      <w:r w:rsidR="0080186A" w:rsidRPr="0001222D">
        <w:rPr>
          <w:rFonts w:ascii="Open Sans" w:hAnsi="Open Sans" w:cs="Open Sans"/>
          <w:sz w:val="22"/>
          <w:szCs w:val="22"/>
        </w:rPr>
        <w:t>as its objective sustainable investment</w:t>
      </w:r>
      <w:r w:rsidRPr="0001222D">
        <w:rPr>
          <w:rFonts w:ascii="Open Sans" w:hAnsi="Open Sans" w:cs="Open Sans"/>
          <w:sz w:val="22"/>
          <w:szCs w:val="22"/>
        </w:rPr>
        <w:t>.</w:t>
      </w:r>
    </w:p>
    <w:tbl>
      <w:tblPr>
        <w:tblStyle w:val="TableGrid"/>
        <w:tblW w:w="9019" w:type="dxa"/>
        <w:tblInd w:w="-5" w:type="dxa"/>
        <w:tblBorders>
          <w:insideH w:val="none" w:sz="0" w:space="0" w:color="auto"/>
          <w:insideV w:val="none" w:sz="0" w:space="0" w:color="auto"/>
        </w:tblBorders>
        <w:shd w:val="clear" w:color="auto" w:fill="DAE9F7" w:themeFill="text2" w:themeFillTint="1A"/>
        <w:tblLook w:val="04A0" w:firstRow="1" w:lastRow="0" w:firstColumn="1" w:lastColumn="0" w:noHBand="0" w:noVBand="1"/>
      </w:tblPr>
      <w:tblGrid>
        <w:gridCol w:w="9019"/>
      </w:tblGrid>
      <w:tr w:rsidR="000A276C" w:rsidRPr="006800DA" w14:paraId="4DD65BD4" w14:textId="77777777" w:rsidTr="00904DEF">
        <w:tc>
          <w:tcPr>
            <w:tcW w:w="9019" w:type="dxa"/>
            <w:shd w:val="clear" w:color="auto" w:fill="DAE9F7" w:themeFill="text2" w:themeFillTint="1A"/>
          </w:tcPr>
          <w:p w14:paraId="12E74889" w14:textId="5428130B" w:rsidR="000A276C" w:rsidRPr="006800DA" w:rsidRDefault="003B6550" w:rsidP="006800DA">
            <w:pPr>
              <w:pStyle w:val="ListParagraph"/>
              <w:numPr>
                <w:ilvl w:val="0"/>
                <w:numId w:val="21"/>
              </w:numPr>
              <w:spacing w:after="120"/>
              <w:rPr>
                <w:rFonts w:ascii="Open Sans" w:hAnsi="Open Sans" w:cs="Open Sans"/>
                <w:b/>
                <w:bCs/>
                <w:sz w:val="24"/>
                <w:szCs w:val="24"/>
              </w:rPr>
            </w:pPr>
            <w:bookmarkStart w:id="1" w:name="_Hlk210646731"/>
            <w:r w:rsidRPr="006800DA">
              <w:rPr>
                <w:rFonts w:ascii="Open Sans" w:hAnsi="Open Sans" w:cs="Open Sans"/>
                <w:b/>
                <w:bCs/>
                <w:sz w:val="24"/>
                <w:szCs w:val="24"/>
              </w:rPr>
              <w:t>Environmental or social characteristics of the financial product</w:t>
            </w:r>
          </w:p>
        </w:tc>
      </w:tr>
    </w:tbl>
    <w:bookmarkEnd w:id="1"/>
    <w:p w14:paraId="091A8D2D" w14:textId="50DBFD6F" w:rsidR="003C303D" w:rsidRPr="0001222D" w:rsidRDefault="003C303D" w:rsidP="00904DEF">
      <w:pPr>
        <w:spacing w:before="240"/>
        <w:jc w:val="both"/>
        <w:rPr>
          <w:rFonts w:ascii="Open Sans" w:hAnsi="Open Sans" w:cs="Open Sans"/>
          <w:sz w:val="22"/>
          <w:szCs w:val="22"/>
        </w:rPr>
      </w:pPr>
      <w:r w:rsidRPr="0001222D">
        <w:rPr>
          <w:rFonts w:ascii="Open Sans" w:hAnsi="Open Sans" w:cs="Open Sans"/>
          <w:sz w:val="22"/>
          <w:szCs w:val="22"/>
        </w:rPr>
        <w:t>The Petrus real estate fund – Petrus residential opportunities fund (the Fund) promotes, as part of its investment strategy, environmental</w:t>
      </w:r>
      <w:r w:rsidR="00F037C1">
        <w:rPr>
          <w:rFonts w:ascii="Open Sans" w:hAnsi="Open Sans" w:cs="Open Sans"/>
          <w:sz w:val="22"/>
          <w:szCs w:val="22"/>
        </w:rPr>
        <w:t xml:space="preserve"> and social</w:t>
      </w:r>
      <w:r w:rsidRPr="0001222D">
        <w:rPr>
          <w:rFonts w:ascii="Open Sans" w:hAnsi="Open Sans" w:cs="Open Sans"/>
          <w:sz w:val="22"/>
          <w:szCs w:val="22"/>
        </w:rPr>
        <w:t xml:space="preserve"> characteristics at the </w:t>
      </w:r>
      <w:r w:rsidR="00DA131A">
        <w:rPr>
          <w:rFonts w:ascii="Open Sans" w:hAnsi="Open Sans" w:cs="Open Sans"/>
          <w:sz w:val="22"/>
          <w:szCs w:val="22"/>
        </w:rPr>
        <w:t xml:space="preserve">properties </w:t>
      </w:r>
      <w:r w:rsidRPr="0001222D">
        <w:rPr>
          <w:rFonts w:ascii="Open Sans" w:hAnsi="Open Sans" w:cs="Open Sans"/>
          <w:sz w:val="22"/>
          <w:szCs w:val="22"/>
        </w:rPr>
        <w:t>it invests in. The Fund promote</w:t>
      </w:r>
      <w:r w:rsidR="00DA131A">
        <w:rPr>
          <w:rFonts w:ascii="Open Sans" w:hAnsi="Open Sans" w:cs="Open Sans"/>
          <w:sz w:val="22"/>
          <w:szCs w:val="22"/>
        </w:rPr>
        <w:t>s</w:t>
      </w:r>
      <w:r w:rsidRPr="0001222D">
        <w:rPr>
          <w:rFonts w:ascii="Open Sans" w:hAnsi="Open Sans" w:cs="Open Sans"/>
          <w:sz w:val="22"/>
          <w:szCs w:val="22"/>
        </w:rPr>
        <w:t xml:space="preserve"> the following </w:t>
      </w:r>
      <w:r w:rsidR="00DA131A">
        <w:rPr>
          <w:rFonts w:ascii="Open Sans" w:hAnsi="Open Sans" w:cs="Open Sans"/>
          <w:sz w:val="22"/>
          <w:szCs w:val="22"/>
        </w:rPr>
        <w:t xml:space="preserve">E/S </w:t>
      </w:r>
      <w:r w:rsidRPr="0001222D">
        <w:rPr>
          <w:rFonts w:ascii="Open Sans" w:hAnsi="Open Sans" w:cs="Open Sans"/>
          <w:sz w:val="22"/>
          <w:szCs w:val="22"/>
        </w:rPr>
        <w:t xml:space="preserve">characteristics: </w:t>
      </w:r>
    </w:p>
    <w:p w14:paraId="06B53D6B" w14:textId="0CE9CCF3" w:rsidR="007604B9" w:rsidRPr="0001222D" w:rsidRDefault="007604B9" w:rsidP="007604B9">
      <w:pPr>
        <w:pStyle w:val="ListParagraph"/>
        <w:numPr>
          <w:ilvl w:val="0"/>
          <w:numId w:val="13"/>
        </w:numPr>
        <w:jc w:val="both"/>
        <w:rPr>
          <w:rFonts w:ascii="Open Sans" w:hAnsi="Open Sans" w:cs="Open Sans"/>
          <w:sz w:val="22"/>
          <w:szCs w:val="22"/>
        </w:rPr>
      </w:pPr>
      <w:r w:rsidRPr="0001222D">
        <w:rPr>
          <w:rFonts w:ascii="Open Sans" w:hAnsi="Open Sans" w:cs="Open Sans"/>
          <w:sz w:val="22"/>
          <w:szCs w:val="22"/>
        </w:rPr>
        <w:t xml:space="preserve">Improving the resource efficiency of its investments, focusing on energy, water, and waste management </w:t>
      </w:r>
      <w:r w:rsidR="000C4D00">
        <w:rPr>
          <w:rFonts w:ascii="Open Sans" w:hAnsi="Open Sans" w:cs="Open Sans"/>
          <w:sz w:val="22"/>
          <w:szCs w:val="22"/>
        </w:rPr>
        <w:t xml:space="preserve">at minimum </w:t>
      </w:r>
      <w:r w:rsidRPr="0001222D">
        <w:rPr>
          <w:rFonts w:ascii="Open Sans" w:hAnsi="Open Sans" w:cs="Open Sans"/>
          <w:sz w:val="22"/>
          <w:szCs w:val="22"/>
        </w:rPr>
        <w:t>in the common areas of buildings</w:t>
      </w:r>
    </w:p>
    <w:p w14:paraId="7201F2C2" w14:textId="628D5B43" w:rsidR="007604B9" w:rsidRPr="0001222D" w:rsidRDefault="007604B9" w:rsidP="007604B9">
      <w:pPr>
        <w:pStyle w:val="ListParagraph"/>
        <w:numPr>
          <w:ilvl w:val="1"/>
          <w:numId w:val="13"/>
        </w:numPr>
        <w:jc w:val="both"/>
        <w:rPr>
          <w:rFonts w:ascii="Open Sans" w:hAnsi="Open Sans" w:cs="Open Sans"/>
          <w:sz w:val="22"/>
          <w:szCs w:val="22"/>
        </w:rPr>
      </w:pPr>
      <w:r w:rsidRPr="0001222D">
        <w:rPr>
          <w:rFonts w:ascii="Open Sans" w:hAnsi="Open Sans" w:cs="Open Sans"/>
          <w:sz w:val="22"/>
          <w:szCs w:val="22"/>
        </w:rPr>
        <w:t xml:space="preserve">Energy efficiency: the Fund seeks to reduce greenhouse gas (GHG) emissions (Scope 1 and 2) and energy-related impacts and </w:t>
      </w:r>
      <w:r w:rsidR="00A74B08">
        <w:rPr>
          <w:rFonts w:ascii="Open Sans" w:hAnsi="Open Sans" w:cs="Open Sans"/>
          <w:sz w:val="22"/>
          <w:szCs w:val="22"/>
        </w:rPr>
        <w:t>to contain</w:t>
      </w:r>
      <w:r w:rsidRPr="0001222D">
        <w:rPr>
          <w:rFonts w:ascii="Open Sans" w:hAnsi="Open Sans" w:cs="Open Sans"/>
          <w:sz w:val="22"/>
          <w:szCs w:val="22"/>
        </w:rPr>
        <w:t xml:space="preserve"> emissions both during the development/refurbishment phase and throughout the operational use of the buildings.</w:t>
      </w:r>
    </w:p>
    <w:p w14:paraId="4FCAE1DB" w14:textId="77777777" w:rsidR="007604B9" w:rsidRPr="0001222D" w:rsidRDefault="007604B9" w:rsidP="007604B9">
      <w:pPr>
        <w:pStyle w:val="ListParagraph"/>
        <w:numPr>
          <w:ilvl w:val="1"/>
          <w:numId w:val="13"/>
        </w:numPr>
        <w:jc w:val="both"/>
        <w:rPr>
          <w:rFonts w:ascii="Open Sans" w:hAnsi="Open Sans" w:cs="Open Sans"/>
          <w:sz w:val="22"/>
          <w:szCs w:val="22"/>
        </w:rPr>
      </w:pPr>
      <w:r w:rsidRPr="0001222D">
        <w:rPr>
          <w:rFonts w:ascii="Open Sans" w:hAnsi="Open Sans" w:cs="Open Sans"/>
          <w:sz w:val="22"/>
          <w:szCs w:val="22"/>
        </w:rPr>
        <w:t>Water efficiency: the Fund aims to reduce water consumption and water intensity by implementing conservation and reuse measures while ensuring that reductions are achieved both during the development/refurbishment phase and in the operational use of the buildings.</w:t>
      </w:r>
    </w:p>
    <w:p w14:paraId="35475F42" w14:textId="04DDB99B" w:rsidR="007604B9" w:rsidRPr="0001222D" w:rsidRDefault="00BE537A" w:rsidP="007604B9">
      <w:pPr>
        <w:pStyle w:val="ListParagraph"/>
        <w:numPr>
          <w:ilvl w:val="1"/>
          <w:numId w:val="13"/>
        </w:numPr>
        <w:jc w:val="both"/>
        <w:rPr>
          <w:rFonts w:ascii="Open Sans" w:hAnsi="Open Sans" w:cs="Open Sans"/>
          <w:sz w:val="22"/>
          <w:szCs w:val="22"/>
        </w:rPr>
      </w:pPr>
      <w:r>
        <w:rPr>
          <w:rFonts w:ascii="Open Sans" w:hAnsi="Open Sans" w:cs="Open Sans"/>
          <w:sz w:val="22"/>
          <w:szCs w:val="22"/>
        </w:rPr>
        <w:t>T</w:t>
      </w:r>
      <w:r w:rsidR="007604B9" w:rsidRPr="0001222D">
        <w:rPr>
          <w:rFonts w:ascii="Open Sans" w:hAnsi="Open Sans" w:cs="Open Sans"/>
          <w:sz w:val="22"/>
          <w:szCs w:val="22"/>
        </w:rPr>
        <w:t>he Fund seeks to minimise waste generation during operations, development, and conversion activities, while increasing recycling performance and reducing hazardous waste arising from construction, refurbishment, and ongoing operations.</w:t>
      </w:r>
    </w:p>
    <w:p w14:paraId="0E1E3282" w14:textId="77777777" w:rsidR="007604B9" w:rsidRPr="0001222D" w:rsidRDefault="007604B9" w:rsidP="007604B9">
      <w:pPr>
        <w:pStyle w:val="ListParagraph"/>
        <w:numPr>
          <w:ilvl w:val="0"/>
          <w:numId w:val="13"/>
        </w:numPr>
        <w:jc w:val="both"/>
        <w:rPr>
          <w:rFonts w:ascii="Open Sans" w:hAnsi="Open Sans" w:cs="Open Sans"/>
          <w:sz w:val="22"/>
          <w:szCs w:val="22"/>
        </w:rPr>
      </w:pPr>
      <w:r w:rsidRPr="0001222D">
        <w:rPr>
          <w:rFonts w:ascii="Open Sans" w:hAnsi="Open Sans" w:cs="Open Sans"/>
          <w:sz w:val="22"/>
          <w:szCs w:val="22"/>
        </w:rPr>
        <w:t>Access to affordable and social housing within European urban areas as defined in accordance with applicable national or local legislation where the asset is located, through both new developments and conversions of existing buildings.</w:t>
      </w:r>
    </w:p>
    <w:p w14:paraId="7E988747" w14:textId="353B341F" w:rsidR="00BB5096" w:rsidRPr="00B762C4" w:rsidRDefault="007604B9" w:rsidP="006D636A">
      <w:pPr>
        <w:pStyle w:val="ListParagraph"/>
        <w:numPr>
          <w:ilvl w:val="0"/>
          <w:numId w:val="13"/>
        </w:numPr>
        <w:jc w:val="both"/>
        <w:rPr>
          <w:rFonts w:ascii="Open Sans" w:hAnsi="Open Sans" w:cs="Open Sans"/>
          <w:b/>
          <w:bCs/>
        </w:rPr>
      </w:pPr>
      <w:r w:rsidRPr="0001222D">
        <w:rPr>
          <w:rFonts w:ascii="Open Sans" w:hAnsi="Open Sans" w:cs="Open Sans"/>
          <w:sz w:val="22"/>
          <w:szCs w:val="22"/>
        </w:rPr>
        <w:t xml:space="preserve">Fair employment practices, gender diversity, inclusive workplace policies, and respect for human rights </w:t>
      </w:r>
      <w:r w:rsidR="00DD097F">
        <w:rPr>
          <w:rFonts w:ascii="Open Sans" w:hAnsi="Open Sans" w:cs="Open Sans"/>
          <w:sz w:val="22"/>
          <w:szCs w:val="22"/>
        </w:rPr>
        <w:t xml:space="preserve">across </w:t>
      </w:r>
      <w:r w:rsidRPr="0001222D">
        <w:rPr>
          <w:rFonts w:ascii="Open Sans" w:hAnsi="Open Sans" w:cs="Open Sans"/>
          <w:sz w:val="22"/>
          <w:szCs w:val="22"/>
        </w:rPr>
        <w:t>its value chain, including developers, property managers, asset managers, and, where relevant, contractors and operating partners.</w:t>
      </w:r>
    </w:p>
    <w:p w14:paraId="0CDE0A55" w14:textId="77777777" w:rsidR="008450D9" w:rsidRPr="0001222D" w:rsidRDefault="008450D9" w:rsidP="008450D9">
      <w:pPr>
        <w:pStyle w:val="ListParagraph"/>
        <w:ind w:left="1080"/>
        <w:jc w:val="both"/>
        <w:rPr>
          <w:rFonts w:ascii="Open Sans" w:hAnsi="Open Sans" w:cs="Open Sans"/>
          <w:b/>
          <w:bCs/>
        </w:rPr>
      </w:pPr>
    </w:p>
    <w:tbl>
      <w:tblPr>
        <w:tblStyle w:val="TableGrid"/>
        <w:tblW w:w="9019" w:type="dxa"/>
        <w:tblInd w:w="-5" w:type="dxa"/>
        <w:tblBorders>
          <w:insideH w:val="none" w:sz="0" w:space="0" w:color="auto"/>
          <w:insideV w:val="none" w:sz="0" w:space="0" w:color="auto"/>
        </w:tblBorders>
        <w:shd w:val="clear" w:color="auto" w:fill="DAE9F7" w:themeFill="text2" w:themeFillTint="1A"/>
        <w:tblLook w:val="04A0" w:firstRow="1" w:lastRow="0" w:firstColumn="1" w:lastColumn="0" w:noHBand="0" w:noVBand="1"/>
      </w:tblPr>
      <w:tblGrid>
        <w:gridCol w:w="9019"/>
      </w:tblGrid>
      <w:tr w:rsidR="000A276C" w:rsidRPr="008450D9" w14:paraId="1993B6E1" w14:textId="77777777" w:rsidTr="00904DEF">
        <w:tc>
          <w:tcPr>
            <w:tcW w:w="9019" w:type="dxa"/>
            <w:shd w:val="clear" w:color="auto" w:fill="DAE9F7" w:themeFill="text2" w:themeFillTint="1A"/>
          </w:tcPr>
          <w:p w14:paraId="48C3C61A" w14:textId="6276505F" w:rsidR="000A276C" w:rsidRPr="008450D9" w:rsidRDefault="00D2723D" w:rsidP="008450D9">
            <w:pPr>
              <w:pStyle w:val="ListParagraph"/>
              <w:numPr>
                <w:ilvl w:val="0"/>
                <w:numId w:val="21"/>
              </w:numPr>
              <w:spacing w:after="120"/>
              <w:rPr>
                <w:rFonts w:ascii="Open Sans" w:hAnsi="Open Sans" w:cs="Open Sans"/>
                <w:b/>
                <w:bCs/>
                <w:sz w:val="24"/>
                <w:szCs w:val="24"/>
              </w:rPr>
            </w:pPr>
            <w:r w:rsidRPr="008450D9">
              <w:rPr>
                <w:rFonts w:ascii="Open Sans" w:hAnsi="Open Sans" w:cs="Open Sans"/>
                <w:b/>
                <w:bCs/>
                <w:sz w:val="24"/>
                <w:szCs w:val="24"/>
              </w:rPr>
              <w:t>Investment strategy</w:t>
            </w:r>
            <w:r w:rsidR="000A276C" w:rsidRPr="008450D9">
              <w:rPr>
                <w:rFonts w:ascii="Open Sans" w:hAnsi="Open Sans" w:cs="Open Sans"/>
                <w:b/>
                <w:bCs/>
                <w:color w:val="000000"/>
                <w:sz w:val="24"/>
                <w:szCs w:val="24"/>
              </w:rPr>
              <w:t xml:space="preserve"> </w:t>
            </w:r>
          </w:p>
        </w:tc>
      </w:tr>
    </w:tbl>
    <w:p w14:paraId="41DA0146" w14:textId="2AB0FC7A" w:rsidR="00A34B3E" w:rsidRPr="0001222D" w:rsidRDefault="00A34B3E" w:rsidP="00904DEF">
      <w:pPr>
        <w:spacing w:before="240"/>
        <w:jc w:val="both"/>
        <w:rPr>
          <w:rFonts w:ascii="Open Sans" w:hAnsi="Open Sans" w:cs="Open Sans"/>
          <w:sz w:val="22"/>
          <w:szCs w:val="22"/>
        </w:rPr>
      </w:pPr>
      <w:r w:rsidRPr="0001222D">
        <w:rPr>
          <w:rFonts w:ascii="Open Sans" w:hAnsi="Open Sans" w:cs="Open Sans"/>
          <w:sz w:val="22"/>
          <w:szCs w:val="22"/>
        </w:rPr>
        <w:t xml:space="preserve">The Fund follows an investment strategy that primarily focuses on residential real estate assets across Europe. These assets may be existing properties, those currently under development, or those intended for future development. Additionally, the </w:t>
      </w:r>
      <w:r w:rsidR="0033613A">
        <w:rPr>
          <w:rFonts w:ascii="Open Sans" w:hAnsi="Open Sans" w:cs="Open Sans"/>
          <w:sz w:val="22"/>
          <w:szCs w:val="22"/>
        </w:rPr>
        <w:t>F</w:t>
      </w:r>
      <w:r w:rsidRPr="0001222D">
        <w:rPr>
          <w:rFonts w:ascii="Open Sans" w:hAnsi="Open Sans" w:cs="Open Sans"/>
          <w:sz w:val="22"/>
          <w:szCs w:val="22"/>
        </w:rPr>
        <w:t xml:space="preserve">und may invest in non-residential real estate assets that are planned to be converted into </w:t>
      </w:r>
      <w:r w:rsidRPr="0001222D">
        <w:rPr>
          <w:rFonts w:ascii="Open Sans" w:hAnsi="Open Sans" w:cs="Open Sans"/>
          <w:sz w:val="22"/>
          <w:szCs w:val="22"/>
        </w:rPr>
        <w:lastRenderedPageBreak/>
        <w:t>residential properties. This approach allows the Fund to tap into various stages of the real estate lifecycle, offering flexibility and potential for growth.</w:t>
      </w:r>
    </w:p>
    <w:p w14:paraId="2717C2E9" w14:textId="398C29FE" w:rsidR="003E69B5" w:rsidRDefault="00A34B3E" w:rsidP="003E69B5">
      <w:pPr>
        <w:jc w:val="both"/>
        <w:rPr>
          <w:rFonts w:ascii="Open Sans" w:hAnsi="Open Sans" w:cs="Open Sans"/>
          <w:sz w:val="22"/>
          <w:szCs w:val="22"/>
        </w:rPr>
      </w:pPr>
      <w:r w:rsidRPr="0001222D">
        <w:rPr>
          <w:rFonts w:ascii="Open Sans" w:hAnsi="Open Sans" w:cs="Open Sans"/>
          <w:sz w:val="22"/>
          <w:szCs w:val="22"/>
        </w:rPr>
        <w:t>The main goal of the Fund is to create a diversified pan-European portfolio of residential real estate assets. The strategy focuses on delivering stable and long-term income for investors, while also exploring opportunities for value creation through asset development and conversion. This combined focus on income and growth makes the Fund ideal for investors seeking both reliable returns and capital appreciation.</w:t>
      </w:r>
    </w:p>
    <w:tbl>
      <w:tblPr>
        <w:tblStyle w:val="TableGrid"/>
        <w:tblW w:w="9019" w:type="dxa"/>
        <w:tblInd w:w="-5" w:type="dxa"/>
        <w:tblBorders>
          <w:insideH w:val="none" w:sz="0" w:space="0" w:color="auto"/>
          <w:insideV w:val="none" w:sz="0" w:space="0" w:color="auto"/>
        </w:tblBorders>
        <w:shd w:val="clear" w:color="auto" w:fill="DAE9F7" w:themeFill="text2" w:themeFillTint="1A"/>
        <w:tblLook w:val="04A0" w:firstRow="1" w:lastRow="0" w:firstColumn="1" w:lastColumn="0" w:noHBand="0" w:noVBand="1"/>
      </w:tblPr>
      <w:tblGrid>
        <w:gridCol w:w="9019"/>
      </w:tblGrid>
      <w:tr w:rsidR="000A276C" w:rsidRPr="00236B9F" w14:paraId="62A8D586" w14:textId="77777777" w:rsidTr="00904DEF">
        <w:tc>
          <w:tcPr>
            <w:tcW w:w="9019" w:type="dxa"/>
            <w:shd w:val="clear" w:color="auto" w:fill="DAE9F7" w:themeFill="text2" w:themeFillTint="1A"/>
          </w:tcPr>
          <w:p w14:paraId="1AC3BFFC" w14:textId="2C48068E" w:rsidR="000A276C" w:rsidRPr="00236B9F" w:rsidRDefault="008450D9" w:rsidP="00291FB5">
            <w:pPr>
              <w:pStyle w:val="ListParagraph"/>
              <w:numPr>
                <w:ilvl w:val="0"/>
                <w:numId w:val="21"/>
              </w:numPr>
              <w:spacing w:after="120"/>
              <w:rPr>
                <w:rFonts w:ascii="Open Sans" w:hAnsi="Open Sans" w:cs="Open Sans"/>
                <w:b/>
                <w:bCs/>
                <w:sz w:val="24"/>
                <w:szCs w:val="24"/>
              </w:rPr>
            </w:pPr>
            <w:r w:rsidRPr="008450D9">
              <w:rPr>
                <w:rFonts w:ascii="Open Sans" w:hAnsi="Open Sans" w:cs="Open Sans"/>
                <w:b/>
                <w:bCs/>
                <w:sz w:val="24"/>
                <w:szCs w:val="24"/>
              </w:rPr>
              <w:t>Proportion of investments</w:t>
            </w:r>
          </w:p>
        </w:tc>
      </w:tr>
    </w:tbl>
    <w:p w14:paraId="3C033608" w14:textId="0D54D46A" w:rsidR="002B4288" w:rsidRDefault="002B4288" w:rsidP="00904DEF">
      <w:pPr>
        <w:spacing w:before="240"/>
        <w:jc w:val="both"/>
        <w:rPr>
          <w:rFonts w:ascii="Open Sans" w:hAnsi="Open Sans" w:cs="Open Sans"/>
          <w:sz w:val="22"/>
          <w:szCs w:val="22"/>
        </w:rPr>
      </w:pPr>
      <w:r w:rsidRPr="0001222D">
        <w:rPr>
          <w:rFonts w:ascii="Open Sans" w:hAnsi="Open Sans" w:cs="Open Sans"/>
          <w:sz w:val="22"/>
          <w:szCs w:val="22"/>
        </w:rPr>
        <w:t xml:space="preserve">The </w:t>
      </w:r>
      <w:r w:rsidR="00DA67BB" w:rsidRPr="0001222D">
        <w:rPr>
          <w:rFonts w:ascii="Open Sans" w:hAnsi="Open Sans" w:cs="Open Sans"/>
          <w:sz w:val="22"/>
          <w:szCs w:val="22"/>
        </w:rPr>
        <w:t xml:space="preserve">Fund </w:t>
      </w:r>
      <w:r w:rsidR="00967BAE">
        <w:rPr>
          <w:rFonts w:ascii="Open Sans" w:hAnsi="Open Sans" w:cs="Open Sans"/>
          <w:sz w:val="22"/>
          <w:szCs w:val="22"/>
        </w:rPr>
        <w:t>may</w:t>
      </w:r>
      <w:r w:rsidR="00DA67BB" w:rsidRPr="0001222D">
        <w:rPr>
          <w:rFonts w:ascii="Open Sans" w:hAnsi="Open Sans" w:cs="Open Sans"/>
          <w:sz w:val="22"/>
          <w:szCs w:val="22"/>
        </w:rPr>
        <w:t xml:space="preserve"> </w:t>
      </w:r>
      <w:r w:rsidRPr="0001222D">
        <w:rPr>
          <w:rFonts w:ascii="Open Sans" w:hAnsi="Open Sans" w:cs="Open Sans"/>
          <w:sz w:val="22"/>
          <w:szCs w:val="22"/>
        </w:rPr>
        <w:t>to invest a minimum of 5</w:t>
      </w:r>
      <w:r w:rsidR="00FA3DAC" w:rsidRPr="0001222D">
        <w:rPr>
          <w:rFonts w:ascii="Open Sans" w:hAnsi="Open Sans" w:cs="Open Sans"/>
          <w:sz w:val="22"/>
          <w:szCs w:val="22"/>
        </w:rPr>
        <w:t>1</w:t>
      </w:r>
      <w:r w:rsidRPr="0001222D">
        <w:rPr>
          <w:rFonts w:ascii="Open Sans" w:hAnsi="Open Sans" w:cs="Open Sans"/>
          <w:sz w:val="22"/>
          <w:szCs w:val="22"/>
        </w:rPr>
        <w:t xml:space="preserve">% of the </w:t>
      </w:r>
      <w:r w:rsidR="00FA3DAC" w:rsidRPr="0001222D">
        <w:rPr>
          <w:rFonts w:ascii="Open Sans" w:hAnsi="Open Sans" w:cs="Open Sans"/>
          <w:sz w:val="22"/>
          <w:szCs w:val="22"/>
        </w:rPr>
        <w:t>Fund’s</w:t>
      </w:r>
      <w:r w:rsidRPr="0001222D">
        <w:rPr>
          <w:rFonts w:ascii="Open Sans" w:hAnsi="Open Sans" w:cs="Open Sans"/>
          <w:sz w:val="22"/>
          <w:szCs w:val="22"/>
        </w:rPr>
        <w:t xml:space="preserve"> net asset value in investments </w:t>
      </w:r>
      <w:r w:rsidR="00DA67BB" w:rsidRPr="0001222D">
        <w:rPr>
          <w:rFonts w:ascii="Open Sans" w:hAnsi="Open Sans" w:cs="Open Sans"/>
          <w:sz w:val="22"/>
          <w:szCs w:val="22"/>
        </w:rPr>
        <w:t>that</w:t>
      </w:r>
      <w:r w:rsidRPr="0001222D">
        <w:rPr>
          <w:rFonts w:ascii="Open Sans" w:hAnsi="Open Sans" w:cs="Open Sans"/>
          <w:sz w:val="22"/>
          <w:szCs w:val="22"/>
        </w:rPr>
        <w:t xml:space="preserve"> promote the E/S </w:t>
      </w:r>
      <w:r w:rsidR="004C7DE9" w:rsidRPr="0001222D">
        <w:rPr>
          <w:rFonts w:ascii="Open Sans" w:hAnsi="Open Sans" w:cs="Open Sans"/>
          <w:sz w:val="22"/>
          <w:szCs w:val="22"/>
        </w:rPr>
        <w:t>c</w:t>
      </w:r>
      <w:r w:rsidRPr="0001222D">
        <w:rPr>
          <w:rFonts w:ascii="Open Sans" w:hAnsi="Open Sans" w:cs="Open Sans"/>
          <w:sz w:val="22"/>
          <w:szCs w:val="22"/>
        </w:rPr>
        <w:t xml:space="preserve">haracteristics </w:t>
      </w:r>
      <w:r w:rsidR="00761F38" w:rsidRPr="0001222D">
        <w:rPr>
          <w:rFonts w:ascii="Open Sans" w:hAnsi="Open Sans" w:cs="Open Sans"/>
          <w:sz w:val="22"/>
          <w:szCs w:val="22"/>
        </w:rPr>
        <w:t>in accordance with Article 8 of the SFDR.</w:t>
      </w:r>
      <w:r w:rsidR="00DA67BB" w:rsidRPr="0001222D">
        <w:rPr>
          <w:rFonts w:ascii="Open Sans" w:hAnsi="Open Sans" w:cs="Open Sans"/>
          <w:sz w:val="22"/>
          <w:szCs w:val="22"/>
        </w:rPr>
        <w:t xml:space="preserve"> </w:t>
      </w:r>
      <w:r w:rsidR="00923B09" w:rsidRPr="0001222D">
        <w:rPr>
          <w:rFonts w:ascii="Open Sans" w:hAnsi="Open Sans" w:cs="Open Sans"/>
          <w:sz w:val="22"/>
          <w:szCs w:val="22"/>
        </w:rPr>
        <w:t>The remaining 49% of investments will be included under “#2 Other” category.</w:t>
      </w:r>
    </w:p>
    <w:tbl>
      <w:tblPr>
        <w:tblStyle w:val="TableGrid"/>
        <w:tblW w:w="9019" w:type="dxa"/>
        <w:tblInd w:w="-5" w:type="dxa"/>
        <w:tblBorders>
          <w:insideH w:val="none" w:sz="0" w:space="0" w:color="auto"/>
          <w:insideV w:val="none" w:sz="0" w:space="0" w:color="auto"/>
        </w:tblBorders>
        <w:shd w:val="clear" w:color="auto" w:fill="DAE9F7" w:themeFill="text2" w:themeFillTint="1A"/>
        <w:tblLook w:val="04A0" w:firstRow="1" w:lastRow="0" w:firstColumn="1" w:lastColumn="0" w:noHBand="0" w:noVBand="1"/>
      </w:tblPr>
      <w:tblGrid>
        <w:gridCol w:w="9019"/>
      </w:tblGrid>
      <w:tr w:rsidR="000A276C" w:rsidRPr="00236B9F" w14:paraId="4A3CFFF6" w14:textId="77777777" w:rsidTr="00904DEF">
        <w:tc>
          <w:tcPr>
            <w:tcW w:w="9019" w:type="dxa"/>
            <w:shd w:val="clear" w:color="auto" w:fill="DAE9F7" w:themeFill="text2" w:themeFillTint="1A"/>
          </w:tcPr>
          <w:p w14:paraId="08F56C00" w14:textId="04F62EA8" w:rsidR="000A276C" w:rsidRPr="00236B9F" w:rsidRDefault="00291FB5" w:rsidP="00291FB5">
            <w:pPr>
              <w:pStyle w:val="ListParagraph"/>
              <w:numPr>
                <w:ilvl w:val="0"/>
                <w:numId w:val="21"/>
              </w:numPr>
              <w:spacing w:after="120"/>
              <w:rPr>
                <w:rFonts w:ascii="Open Sans" w:hAnsi="Open Sans" w:cs="Open Sans"/>
                <w:b/>
                <w:bCs/>
                <w:sz w:val="24"/>
                <w:szCs w:val="24"/>
              </w:rPr>
            </w:pPr>
            <w:r w:rsidRPr="00291FB5">
              <w:rPr>
                <w:rFonts w:ascii="Open Sans" w:hAnsi="Open Sans" w:cs="Open Sans"/>
                <w:b/>
                <w:bCs/>
                <w:sz w:val="24"/>
                <w:szCs w:val="24"/>
              </w:rPr>
              <w:t>Monitoring of environmental or social characteristics</w:t>
            </w:r>
          </w:p>
        </w:tc>
      </w:tr>
    </w:tbl>
    <w:p w14:paraId="59A461A5" w14:textId="065234EC" w:rsidR="00C01496" w:rsidRPr="0001222D" w:rsidRDefault="00C01496" w:rsidP="00904DEF">
      <w:pPr>
        <w:spacing w:before="240" w:line="259" w:lineRule="auto"/>
        <w:jc w:val="both"/>
        <w:rPr>
          <w:rFonts w:ascii="Open Sans" w:eastAsia="Calibri" w:hAnsi="Open Sans" w:cs="Open Sans"/>
          <w:bCs/>
          <w:iCs/>
          <w:noProof/>
          <w:sz w:val="22"/>
          <w:szCs w:val="22"/>
        </w:rPr>
      </w:pPr>
      <w:r w:rsidRPr="0001222D">
        <w:rPr>
          <w:rFonts w:ascii="Open Sans" w:eastAsia="Calibri" w:hAnsi="Open Sans" w:cs="Open Sans"/>
          <w:bCs/>
          <w:iCs/>
          <w:noProof/>
          <w:sz w:val="22"/>
          <w:szCs w:val="22"/>
        </w:rPr>
        <w:t xml:space="preserve">The Fund uses </w:t>
      </w:r>
      <w:r w:rsidRPr="0001222D">
        <w:rPr>
          <w:rFonts w:ascii="Open Sans" w:eastAsia="Calibri" w:hAnsi="Open Sans" w:cs="Open Sans"/>
          <w:iCs/>
          <w:noProof/>
          <w:sz w:val="22"/>
          <w:szCs w:val="22"/>
        </w:rPr>
        <w:t>quantifiable indicators</w:t>
      </w:r>
      <w:r w:rsidRPr="0001222D">
        <w:rPr>
          <w:rFonts w:ascii="Open Sans" w:eastAsia="Calibri" w:hAnsi="Open Sans" w:cs="Open Sans"/>
          <w:bCs/>
          <w:iCs/>
          <w:noProof/>
          <w:sz w:val="22"/>
          <w:szCs w:val="22"/>
        </w:rPr>
        <w:t xml:space="preserve"> to measure the attainment of its promoted characteristics.</w:t>
      </w:r>
      <w:r w:rsidRPr="0001222D">
        <w:rPr>
          <w:rFonts w:ascii="Open Sans" w:hAnsi="Open Sans" w:cs="Open Sans"/>
          <w:sz w:val="22"/>
          <w:szCs w:val="22"/>
        </w:rPr>
        <w:t xml:space="preserve"> </w:t>
      </w:r>
      <w:r w:rsidRPr="0001222D">
        <w:rPr>
          <w:rFonts w:ascii="Open Sans" w:eastAsia="Calibri" w:hAnsi="Open Sans" w:cs="Open Sans"/>
          <w:bCs/>
          <w:iCs/>
          <w:noProof/>
          <w:sz w:val="22"/>
          <w:szCs w:val="22"/>
        </w:rPr>
        <w:t>Indicators are collected and monitored at the asset level and include the following:</w:t>
      </w:r>
    </w:p>
    <w:p w14:paraId="1242D3C8" w14:textId="51288642" w:rsidR="00C01496" w:rsidRPr="0001222D" w:rsidRDefault="00A4103D" w:rsidP="00C01496">
      <w:pPr>
        <w:spacing w:line="259" w:lineRule="auto"/>
        <w:jc w:val="both"/>
        <w:rPr>
          <w:rFonts w:ascii="Open Sans" w:eastAsia="Calibri" w:hAnsi="Open Sans" w:cs="Open Sans"/>
          <w:b/>
          <w:iCs/>
          <w:noProof/>
          <w:sz w:val="22"/>
          <w:szCs w:val="22"/>
        </w:rPr>
      </w:pPr>
      <w:r>
        <w:rPr>
          <w:rFonts w:ascii="Open Sans" w:eastAsia="Calibri" w:hAnsi="Open Sans" w:cs="Open Sans"/>
          <w:b/>
          <w:iCs/>
          <w:noProof/>
          <w:sz w:val="22"/>
          <w:szCs w:val="22"/>
        </w:rPr>
        <w:t>Environmental</w:t>
      </w:r>
      <w:r w:rsidR="00C01496" w:rsidRPr="0001222D">
        <w:rPr>
          <w:rFonts w:ascii="Open Sans" w:eastAsia="Calibri" w:hAnsi="Open Sans" w:cs="Open Sans"/>
          <w:b/>
          <w:iCs/>
          <w:noProof/>
          <w:sz w:val="22"/>
          <w:szCs w:val="22"/>
        </w:rPr>
        <w:t xml:space="preserve"> Indicators</w:t>
      </w:r>
    </w:p>
    <w:p w14:paraId="28C35528" w14:textId="6402E686" w:rsidR="00C01496" w:rsidRPr="0001222D" w:rsidRDefault="00C01496" w:rsidP="00C01496">
      <w:pPr>
        <w:pStyle w:val="ListParagraph"/>
        <w:numPr>
          <w:ilvl w:val="0"/>
          <w:numId w:val="8"/>
        </w:numPr>
        <w:spacing w:after="0" w:line="240" w:lineRule="auto"/>
        <w:contextualSpacing w:val="0"/>
        <w:jc w:val="both"/>
        <w:rPr>
          <w:rFonts w:ascii="Open Sans" w:eastAsia="Calibri" w:hAnsi="Open Sans" w:cs="Open Sans"/>
          <w:bCs/>
          <w:iCs/>
          <w:noProof/>
          <w:sz w:val="22"/>
          <w:szCs w:val="22"/>
        </w:rPr>
      </w:pPr>
      <w:r w:rsidRPr="0001222D">
        <w:rPr>
          <w:rFonts w:ascii="Open Sans" w:eastAsia="Calibri" w:hAnsi="Open Sans" w:cs="Open Sans"/>
          <w:bCs/>
          <w:iCs/>
          <w:noProof/>
          <w:sz w:val="22"/>
          <w:szCs w:val="22"/>
        </w:rPr>
        <w:t xml:space="preserve">GHG emissions – </w:t>
      </w:r>
      <w:r w:rsidR="00964BD8">
        <w:rPr>
          <w:rFonts w:ascii="Open Sans" w:eastAsia="Calibri" w:hAnsi="Open Sans" w:cs="Open Sans"/>
          <w:bCs/>
          <w:iCs/>
          <w:noProof/>
          <w:sz w:val="22"/>
          <w:szCs w:val="22"/>
        </w:rPr>
        <w:t>S</w:t>
      </w:r>
      <w:r w:rsidRPr="0001222D">
        <w:rPr>
          <w:rFonts w:ascii="Open Sans" w:eastAsia="Calibri" w:hAnsi="Open Sans" w:cs="Open Sans"/>
          <w:bCs/>
          <w:iCs/>
          <w:noProof/>
          <w:sz w:val="22"/>
          <w:szCs w:val="22"/>
        </w:rPr>
        <w:t>cope 1 and 2 (tonnes CO2e)</w:t>
      </w:r>
    </w:p>
    <w:p w14:paraId="68A6AD88" w14:textId="77777777" w:rsidR="00C01496" w:rsidRPr="0001222D" w:rsidRDefault="00C01496" w:rsidP="00C01496">
      <w:pPr>
        <w:pStyle w:val="ListParagraph"/>
        <w:numPr>
          <w:ilvl w:val="0"/>
          <w:numId w:val="8"/>
        </w:numPr>
        <w:spacing w:after="0" w:line="240" w:lineRule="auto"/>
        <w:contextualSpacing w:val="0"/>
        <w:jc w:val="both"/>
        <w:rPr>
          <w:rFonts w:ascii="Open Sans" w:eastAsia="Calibri" w:hAnsi="Open Sans" w:cs="Open Sans"/>
          <w:bCs/>
          <w:iCs/>
          <w:noProof/>
          <w:sz w:val="22"/>
          <w:szCs w:val="22"/>
        </w:rPr>
      </w:pPr>
      <w:r w:rsidRPr="0001222D">
        <w:rPr>
          <w:rFonts w:ascii="Open Sans" w:eastAsia="Calibri" w:hAnsi="Open Sans" w:cs="Open Sans"/>
          <w:bCs/>
          <w:iCs/>
          <w:noProof/>
          <w:sz w:val="22"/>
          <w:szCs w:val="22"/>
        </w:rPr>
        <w:t>GHG intensity (tonnes CO2e/revenue in Euros)</w:t>
      </w:r>
    </w:p>
    <w:p w14:paraId="5D5C179E" w14:textId="77777777" w:rsidR="00C01496" w:rsidRPr="0001222D" w:rsidRDefault="00C01496" w:rsidP="00C01496">
      <w:pPr>
        <w:pStyle w:val="ListParagraph"/>
        <w:numPr>
          <w:ilvl w:val="0"/>
          <w:numId w:val="8"/>
        </w:numPr>
        <w:spacing w:after="0" w:line="240" w:lineRule="auto"/>
        <w:contextualSpacing w:val="0"/>
        <w:jc w:val="both"/>
        <w:rPr>
          <w:rFonts w:ascii="Open Sans" w:eastAsia="Calibri" w:hAnsi="Open Sans" w:cs="Open Sans"/>
          <w:bCs/>
          <w:iCs/>
          <w:noProof/>
          <w:sz w:val="22"/>
          <w:szCs w:val="22"/>
        </w:rPr>
      </w:pPr>
      <w:r w:rsidRPr="0001222D">
        <w:rPr>
          <w:rFonts w:ascii="Open Sans" w:eastAsia="Calibri" w:hAnsi="Open Sans" w:cs="Open Sans"/>
          <w:bCs/>
          <w:iCs/>
          <w:noProof/>
          <w:sz w:val="22"/>
          <w:szCs w:val="22"/>
        </w:rPr>
        <w:t>Renewable energy procured (%)</w:t>
      </w:r>
    </w:p>
    <w:p w14:paraId="3102E0BD" w14:textId="77777777" w:rsidR="00C01496" w:rsidRPr="0001222D" w:rsidRDefault="00C01496" w:rsidP="00C01496">
      <w:pPr>
        <w:pStyle w:val="ListParagraph"/>
        <w:numPr>
          <w:ilvl w:val="0"/>
          <w:numId w:val="8"/>
        </w:numPr>
        <w:spacing w:after="0" w:line="240" w:lineRule="auto"/>
        <w:contextualSpacing w:val="0"/>
        <w:jc w:val="both"/>
        <w:rPr>
          <w:rFonts w:ascii="Open Sans" w:eastAsia="Calibri" w:hAnsi="Open Sans" w:cs="Open Sans"/>
          <w:bCs/>
          <w:iCs/>
          <w:noProof/>
          <w:sz w:val="22"/>
          <w:szCs w:val="22"/>
        </w:rPr>
      </w:pPr>
      <w:r w:rsidRPr="0001222D">
        <w:rPr>
          <w:rFonts w:ascii="Open Sans" w:eastAsia="Calibri" w:hAnsi="Open Sans" w:cs="Open Sans"/>
          <w:bCs/>
          <w:iCs/>
          <w:noProof/>
          <w:sz w:val="22"/>
          <w:szCs w:val="22"/>
        </w:rPr>
        <w:t>Total energy consumption (kWh)</w:t>
      </w:r>
    </w:p>
    <w:p w14:paraId="5674926B" w14:textId="77777777" w:rsidR="00C01496" w:rsidRPr="0001222D" w:rsidRDefault="00C01496" w:rsidP="00C01496">
      <w:pPr>
        <w:pStyle w:val="ListParagraph"/>
        <w:numPr>
          <w:ilvl w:val="0"/>
          <w:numId w:val="8"/>
        </w:numPr>
        <w:spacing w:after="0" w:line="240" w:lineRule="auto"/>
        <w:contextualSpacing w:val="0"/>
        <w:jc w:val="both"/>
        <w:rPr>
          <w:rFonts w:ascii="Open Sans" w:eastAsia="Calibri" w:hAnsi="Open Sans" w:cs="Open Sans"/>
          <w:bCs/>
          <w:iCs/>
          <w:noProof/>
          <w:sz w:val="22"/>
          <w:szCs w:val="22"/>
        </w:rPr>
      </w:pPr>
      <w:r w:rsidRPr="0001222D">
        <w:rPr>
          <w:rFonts w:ascii="Open Sans" w:eastAsia="Calibri" w:hAnsi="Open Sans" w:cs="Open Sans"/>
          <w:bCs/>
          <w:iCs/>
          <w:noProof/>
          <w:sz w:val="22"/>
          <w:szCs w:val="22"/>
        </w:rPr>
        <w:t>Energy intensity (kWh/(m²·y))</w:t>
      </w:r>
    </w:p>
    <w:p w14:paraId="5121F1F4" w14:textId="77777777" w:rsidR="00C01496" w:rsidRPr="0001222D" w:rsidRDefault="00C01496" w:rsidP="00C01496">
      <w:pPr>
        <w:pStyle w:val="ListParagraph"/>
        <w:numPr>
          <w:ilvl w:val="0"/>
          <w:numId w:val="8"/>
        </w:numPr>
        <w:spacing w:after="0" w:line="240" w:lineRule="auto"/>
        <w:contextualSpacing w:val="0"/>
        <w:jc w:val="both"/>
        <w:rPr>
          <w:rFonts w:ascii="Open Sans" w:eastAsia="Calibri" w:hAnsi="Open Sans" w:cs="Open Sans"/>
          <w:bCs/>
          <w:iCs/>
          <w:noProof/>
          <w:sz w:val="22"/>
          <w:szCs w:val="22"/>
        </w:rPr>
      </w:pPr>
      <w:r w:rsidRPr="0001222D">
        <w:rPr>
          <w:rFonts w:ascii="Open Sans" w:eastAsia="Calibri" w:hAnsi="Open Sans" w:cs="Open Sans"/>
          <w:iCs/>
          <w:noProof/>
          <w:sz w:val="22"/>
          <w:szCs w:val="22"/>
        </w:rPr>
        <w:t>% of portfolio with EPC rating of A, B, or</w:t>
      </w:r>
      <w:r w:rsidRPr="0001222D">
        <w:rPr>
          <w:rFonts w:ascii="Open Sans" w:eastAsia="Calibri" w:hAnsi="Open Sans" w:cs="Open Sans"/>
          <w:b/>
          <w:bCs/>
          <w:iCs/>
          <w:noProof/>
          <w:sz w:val="22"/>
          <w:szCs w:val="22"/>
        </w:rPr>
        <w:t xml:space="preserve"> </w:t>
      </w:r>
      <w:r w:rsidRPr="0001222D">
        <w:rPr>
          <w:rFonts w:ascii="Open Sans" w:eastAsia="Calibri" w:hAnsi="Open Sans" w:cs="Open Sans"/>
          <w:iCs/>
          <w:noProof/>
          <w:sz w:val="22"/>
          <w:szCs w:val="22"/>
        </w:rPr>
        <w:t>C</w:t>
      </w:r>
      <w:r w:rsidRPr="0001222D">
        <w:rPr>
          <w:rFonts w:ascii="Open Sans" w:eastAsia="Calibri" w:hAnsi="Open Sans" w:cs="Open Sans"/>
          <w:bCs/>
          <w:iCs/>
          <w:noProof/>
          <w:sz w:val="22"/>
          <w:szCs w:val="22"/>
        </w:rPr>
        <w:t>.</w:t>
      </w:r>
    </w:p>
    <w:p w14:paraId="1E4C0ABD" w14:textId="77777777" w:rsidR="00C01496" w:rsidRPr="0001222D" w:rsidRDefault="00C01496" w:rsidP="00C01496">
      <w:pPr>
        <w:pStyle w:val="ListParagraph"/>
        <w:numPr>
          <w:ilvl w:val="0"/>
          <w:numId w:val="8"/>
        </w:numPr>
        <w:spacing w:after="0" w:line="240" w:lineRule="auto"/>
        <w:contextualSpacing w:val="0"/>
        <w:jc w:val="both"/>
        <w:rPr>
          <w:rFonts w:ascii="Open Sans" w:eastAsia="Calibri" w:hAnsi="Open Sans" w:cs="Open Sans"/>
          <w:iCs/>
          <w:noProof/>
          <w:sz w:val="22"/>
          <w:szCs w:val="22"/>
        </w:rPr>
      </w:pPr>
      <w:r w:rsidRPr="0001222D">
        <w:rPr>
          <w:rFonts w:ascii="Open Sans" w:eastAsia="Calibri" w:hAnsi="Open Sans" w:cs="Open Sans"/>
          <w:iCs/>
          <w:noProof/>
          <w:sz w:val="22"/>
          <w:szCs w:val="22"/>
        </w:rPr>
        <w:t>% of assets that have improved their EPC rating by at least one grade during the holding period.</w:t>
      </w:r>
    </w:p>
    <w:p w14:paraId="6644BA1E" w14:textId="77777777" w:rsidR="00C01496" w:rsidRPr="0001222D" w:rsidRDefault="00C01496" w:rsidP="00C01496">
      <w:pPr>
        <w:pStyle w:val="ListParagraph"/>
        <w:numPr>
          <w:ilvl w:val="0"/>
          <w:numId w:val="8"/>
        </w:numPr>
        <w:spacing w:after="0" w:line="240" w:lineRule="auto"/>
        <w:contextualSpacing w:val="0"/>
        <w:jc w:val="both"/>
        <w:rPr>
          <w:rFonts w:ascii="Open Sans" w:eastAsia="Calibri" w:hAnsi="Open Sans" w:cs="Open Sans"/>
          <w:bCs/>
          <w:iCs/>
          <w:noProof/>
          <w:sz w:val="22"/>
          <w:szCs w:val="22"/>
        </w:rPr>
      </w:pPr>
      <w:r w:rsidRPr="0001222D">
        <w:rPr>
          <w:rFonts w:ascii="Open Sans" w:eastAsia="Calibri" w:hAnsi="Open Sans" w:cs="Open Sans"/>
          <w:bCs/>
          <w:iCs/>
          <w:noProof/>
          <w:sz w:val="22"/>
          <w:szCs w:val="22"/>
        </w:rPr>
        <w:t>Recycled waste (tonnes)</w:t>
      </w:r>
    </w:p>
    <w:p w14:paraId="75A4F958" w14:textId="77777777" w:rsidR="00C01496" w:rsidRPr="0001222D" w:rsidRDefault="00C01496" w:rsidP="00C01496">
      <w:pPr>
        <w:pStyle w:val="ListParagraph"/>
        <w:numPr>
          <w:ilvl w:val="0"/>
          <w:numId w:val="8"/>
        </w:numPr>
        <w:spacing w:after="0" w:line="240" w:lineRule="auto"/>
        <w:contextualSpacing w:val="0"/>
        <w:jc w:val="both"/>
        <w:rPr>
          <w:rFonts w:ascii="Open Sans" w:eastAsia="Calibri" w:hAnsi="Open Sans" w:cs="Open Sans"/>
          <w:bCs/>
          <w:iCs/>
          <w:noProof/>
          <w:sz w:val="22"/>
          <w:szCs w:val="22"/>
        </w:rPr>
      </w:pPr>
      <w:r w:rsidRPr="0001222D">
        <w:rPr>
          <w:rFonts w:ascii="Open Sans" w:eastAsia="Calibri" w:hAnsi="Open Sans" w:cs="Open Sans"/>
          <w:bCs/>
          <w:iCs/>
          <w:noProof/>
          <w:sz w:val="22"/>
          <w:szCs w:val="22"/>
        </w:rPr>
        <w:t>Non-recycled waste (tonnes)</w:t>
      </w:r>
    </w:p>
    <w:p w14:paraId="54FEAD1D" w14:textId="77777777" w:rsidR="00C01496" w:rsidRPr="0001222D" w:rsidRDefault="00C01496" w:rsidP="00C01496">
      <w:pPr>
        <w:pStyle w:val="ListParagraph"/>
        <w:numPr>
          <w:ilvl w:val="0"/>
          <w:numId w:val="8"/>
        </w:numPr>
        <w:spacing w:after="0" w:line="240" w:lineRule="auto"/>
        <w:contextualSpacing w:val="0"/>
        <w:jc w:val="both"/>
        <w:rPr>
          <w:rFonts w:ascii="Open Sans" w:eastAsia="Calibri" w:hAnsi="Open Sans" w:cs="Open Sans"/>
          <w:bCs/>
          <w:iCs/>
          <w:noProof/>
          <w:sz w:val="22"/>
          <w:szCs w:val="22"/>
        </w:rPr>
      </w:pPr>
      <w:r w:rsidRPr="0001222D">
        <w:rPr>
          <w:rFonts w:ascii="Open Sans" w:eastAsia="Calibri" w:hAnsi="Open Sans" w:cs="Open Sans"/>
          <w:bCs/>
          <w:iCs/>
          <w:noProof/>
          <w:sz w:val="22"/>
          <w:szCs w:val="22"/>
        </w:rPr>
        <w:t>Water consumption (m</w:t>
      </w:r>
      <w:r w:rsidRPr="0001222D">
        <w:rPr>
          <w:rFonts w:ascii="Open Sans" w:eastAsia="Calibri" w:hAnsi="Open Sans" w:cs="Open Sans"/>
          <w:bCs/>
          <w:iCs/>
          <w:noProof/>
          <w:sz w:val="22"/>
          <w:szCs w:val="22"/>
          <w:vertAlign w:val="superscript"/>
        </w:rPr>
        <w:t>3</w:t>
      </w:r>
      <w:r w:rsidRPr="0001222D">
        <w:rPr>
          <w:rFonts w:ascii="Open Sans" w:eastAsia="Calibri" w:hAnsi="Open Sans" w:cs="Open Sans"/>
          <w:bCs/>
          <w:iCs/>
          <w:noProof/>
          <w:sz w:val="22"/>
          <w:szCs w:val="22"/>
        </w:rPr>
        <w:t>)</w:t>
      </w:r>
    </w:p>
    <w:p w14:paraId="49440D06" w14:textId="77777777" w:rsidR="00C01496" w:rsidRPr="0001222D" w:rsidRDefault="00C01496" w:rsidP="00C01496">
      <w:pPr>
        <w:pStyle w:val="ListParagraph"/>
        <w:numPr>
          <w:ilvl w:val="0"/>
          <w:numId w:val="8"/>
        </w:numPr>
        <w:spacing w:after="0" w:line="240" w:lineRule="auto"/>
        <w:contextualSpacing w:val="0"/>
        <w:jc w:val="both"/>
        <w:rPr>
          <w:rFonts w:ascii="Open Sans" w:eastAsia="Calibri" w:hAnsi="Open Sans" w:cs="Open Sans"/>
          <w:bCs/>
          <w:iCs/>
          <w:noProof/>
          <w:sz w:val="22"/>
          <w:szCs w:val="22"/>
        </w:rPr>
      </w:pPr>
      <w:r w:rsidRPr="0001222D">
        <w:rPr>
          <w:rFonts w:ascii="Open Sans" w:eastAsia="Calibri" w:hAnsi="Open Sans" w:cs="Open Sans"/>
          <w:bCs/>
          <w:iCs/>
          <w:noProof/>
          <w:sz w:val="22"/>
          <w:szCs w:val="22"/>
        </w:rPr>
        <w:t>Water intensity (m</w:t>
      </w:r>
      <w:r w:rsidRPr="0001222D">
        <w:rPr>
          <w:rFonts w:ascii="Open Sans" w:eastAsia="Calibri" w:hAnsi="Open Sans" w:cs="Open Sans"/>
          <w:bCs/>
          <w:iCs/>
          <w:noProof/>
          <w:sz w:val="22"/>
          <w:szCs w:val="22"/>
          <w:vertAlign w:val="superscript"/>
        </w:rPr>
        <w:t>3</w:t>
      </w:r>
      <w:r w:rsidRPr="0001222D">
        <w:rPr>
          <w:rFonts w:ascii="Open Sans" w:eastAsia="Calibri" w:hAnsi="Open Sans" w:cs="Open Sans"/>
          <w:bCs/>
          <w:iCs/>
          <w:noProof/>
          <w:sz w:val="22"/>
          <w:szCs w:val="22"/>
        </w:rPr>
        <w:t>/m</w:t>
      </w:r>
      <w:r w:rsidRPr="0001222D">
        <w:rPr>
          <w:rFonts w:ascii="Open Sans" w:eastAsia="Calibri" w:hAnsi="Open Sans" w:cs="Open Sans"/>
          <w:bCs/>
          <w:iCs/>
          <w:noProof/>
          <w:sz w:val="22"/>
          <w:szCs w:val="22"/>
          <w:vertAlign w:val="superscript"/>
        </w:rPr>
        <w:t>2</w:t>
      </w:r>
      <w:r w:rsidRPr="0001222D">
        <w:rPr>
          <w:rFonts w:ascii="Open Sans" w:eastAsia="Calibri" w:hAnsi="Open Sans" w:cs="Open Sans"/>
          <w:bCs/>
          <w:iCs/>
          <w:noProof/>
          <w:sz w:val="22"/>
          <w:szCs w:val="22"/>
        </w:rPr>
        <w:t>)</w:t>
      </w:r>
    </w:p>
    <w:p w14:paraId="52B470B3" w14:textId="77777777" w:rsidR="00C01496" w:rsidRPr="0001222D" w:rsidRDefault="00C01496" w:rsidP="00C01496">
      <w:pPr>
        <w:tabs>
          <w:tab w:val="left" w:pos="4590"/>
        </w:tabs>
        <w:spacing w:after="0"/>
        <w:jc w:val="both"/>
        <w:rPr>
          <w:rFonts w:ascii="Open Sans" w:eastAsia="Calibri" w:hAnsi="Open Sans" w:cs="Open Sans"/>
          <w:bCs/>
          <w:iCs/>
          <w:noProof/>
          <w:sz w:val="22"/>
          <w:szCs w:val="22"/>
        </w:rPr>
      </w:pPr>
      <w:r w:rsidRPr="0001222D">
        <w:rPr>
          <w:rFonts w:ascii="Open Sans" w:eastAsia="Calibri" w:hAnsi="Open Sans" w:cs="Open Sans"/>
          <w:bCs/>
          <w:iCs/>
          <w:noProof/>
          <w:sz w:val="22"/>
          <w:szCs w:val="22"/>
        </w:rPr>
        <w:tab/>
      </w:r>
    </w:p>
    <w:p w14:paraId="6F5474D7" w14:textId="5AB0CE6E" w:rsidR="00C01496" w:rsidRPr="0001222D" w:rsidRDefault="00C01496" w:rsidP="00C01496">
      <w:pPr>
        <w:spacing w:after="0"/>
        <w:jc w:val="both"/>
        <w:rPr>
          <w:rFonts w:ascii="Open Sans" w:eastAsia="Calibri" w:hAnsi="Open Sans" w:cs="Open Sans"/>
          <w:sz w:val="22"/>
          <w:szCs w:val="22"/>
        </w:rPr>
      </w:pPr>
      <w:r w:rsidRPr="0001222D">
        <w:rPr>
          <w:rFonts w:ascii="Open Sans" w:eastAsia="Calibri" w:hAnsi="Open Sans" w:cs="Open Sans"/>
          <w:sz w:val="22"/>
          <w:szCs w:val="22"/>
        </w:rPr>
        <w:t xml:space="preserve">Monitoring of these indicators is conducted/measured at </w:t>
      </w:r>
      <w:r w:rsidR="00A4103D">
        <w:rPr>
          <w:rFonts w:ascii="Open Sans" w:eastAsia="Calibri" w:hAnsi="Open Sans" w:cs="Open Sans"/>
          <w:sz w:val="22"/>
          <w:szCs w:val="22"/>
        </w:rPr>
        <w:t xml:space="preserve">a </w:t>
      </w:r>
      <w:r w:rsidRPr="0001222D">
        <w:rPr>
          <w:rFonts w:ascii="Open Sans" w:eastAsia="Calibri" w:hAnsi="Open Sans" w:cs="Open Sans"/>
          <w:sz w:val="22"/>
          <w:szCs w:val="22"/>
        </w:rPr>
        <w:t>minimum in the common areas of the buildings.</w:t>
      </w:r>
    </w:p>
    <w:p w14:paraId="5FA94A17" w14:textId="77777777" w:rsidR="008943CA" w:rsidRDefault="008943CA" w:rsidP="00C01496">
      <w:pPr>
        <w:spacing w:after="0"/>
        <w:jc w:val="both"/>
        <w:rPr>
          <w:rFonts w:ascii="Open Sans" w:eastAsia="Calibri" w:hAnsi="Open Sans" w:cs="Open Sans"/>
          <w:b/>
          <w:iCs/>
          <w:noProof/>
          <w:sz w:val="22"/>
          <w:szCs w:val="22"/>
        </w:rPr>
      </w:pPr>
    </w:p>
    <w:p w14:paraId="7F47BA56" w14:textId="4E9906DE" w:rsidR="00C01496" w:rsidRPr="0001222D" w:rsidRDefault="00C01496" w:rsidP="00C01496">
      <w:pPr>
        <w:spacing w:after="0"/>
        <w:jc w:val="both"/>
        <w:rPr>
          <w:rFonts w:ascii="Open Sans" w:eastAsia="Calibri" w:hAnsi="Open Sans" w:cs="Open Sans"/>
          <w:b/>
          <w:iCs/>
          <w:noProof/>
          <w:sz w:val="22"/>
          <w:szCs w:val="22"/>
        </w:rPr>
      </w:pPr>
      <w:r w:rsidRPr="0001222D">
        <w:rPr>
          <w:rFonts w:ascii="Open Sans" w:eastAsia="Calibri" w:hAnsi="Open Sans" w:cs="Open Sans"/>
          <w:b/>
          <w:iCs/>
          <w:noProof/>
          <w:sz w:val="22"/>
          <w:szCs w:val="22"/>
        </w:rPr>
        <w:t xml:space="preserve">Social Indicators </w:t>
      </w:r>
    </w:p>
    <w:p w14:paraId="7DC47C8F" w14:textId="77777777" w:rsidR="00C01496" w:rsidRPr="0001222D" w:rsidRDefault="00C01496" w:rsidP="00C01496">
      <w:pPr>
        <w:pStyle w:val="ListParagraph"/>
        <w:numPr>
          <w:ilvl w:val="0"/>
          <w:numId w:val="8"/>
        </w:numPr>
        <w:spacing w:after="0" w:line="240" w:lineRule="auto"/>
        <w:contextualSpacing w:val="0"/>
        <w:jc w:val="both"/>
        <w:rPr>
          <w:rFonts w:ascii="Open Sans" w:eastAsia="Calibri" w:hAnsi="Open Sans" w:cs="Open Sans"/>
          <w:bCs/>
          <w:iCs/>
          <w:noProof/>
          <w:sz w:val="22"/>
          <w:szCs w:val="22"/>
        </w:rPr>
      </w:pPr>
      <w:r w:rsidRPr="0001222D">
        <w:rPr>
          <w:rFonts w:ascii="Open Sans" w:eastAsia="Calibri" w:hAnsi="Open Sans" w:cs="Open Sans"/>
          <w:bCs/>
          <w:iCs/>
          <w:noProof/>
          <w:sz w:val="22"/>
          <w:szCs w:val="22"/>
        </w:rPr>
        <w:t>% of residential units classified as social or affordable housing (per national/local definitions).</w:t>
      </w:r>
    </w:p>
    <w:p w14:paraId="75EB7BF2" w14:textId="77777777" w:rsidR="00C01496" w:rsidRPr="0001222D" w:rsidRDefault="00C01496" w:rsidP="00C01496">
      <w:pPr>
        <w:pStyle w:val="ListParagraph"/>
        <w:numPr>
          <w:ilvl w:val="0"/>
          <w:numId w:val="8"/>
        </w:numPr>
        <w:spacing w:after="0" w:line="240" w:lineRule="auto"/>
        <w:contextualSpacing w:val="0"/>
        <w:jc w:val="both"/>
        <w:rPr>
          <w:rFonts w:ascii="Open Sans" w:eastAsia="Calibri" w:hAnsi="Open Sans" w:cs="Open Sans"/>
          <w:bCs/>
          <w:iCs/>
          <w:noProof/>
          <w:sz w:val="22"/>
          <w:szCs w:val="22"/>
        </w:rPr>
      </w:pPr>
      <w:r w:rsidRPr="0001222D">
        <w:rPr>
          <w:rFonts w:ascii="Open Sans" w:eastAsia="Calibri" w:hAnsi="Open Sans" w:cs="Open Sans"/>
          <w:bCs/>
          <w:iCs/>
          <w:noProof/>
          <w:sz w:val="22"/>
          <w:szCs w:val="22"/>
        </w:rPr>
        <w:t>Gender Pay Gap (%)</w:t>
      </w:r>
    </w:p>
    <w:p w14:paraId="65FEF8CF" w14:textId="77777777" w:rsidR="00C01496" w:rsidRPr="0001222D" w:rsidRDefault="00C01496" w:rsidP="00C01496">
      <w:pPr>
        <w:pStyle w:val="ListParagraph"/>
        <w:numPr>
          <w:ilvl w:val="0"/>
          <w:numId w:val="8"/>
        </w:numPr>
        <w:spacing w:after="0" w:line="240" w:lineRule="auto"/>
        <w:contextualSpacing w:val="0"/>
        <w:jc w:val="both"/>
        <w:rPr>
          <w:rFonts w:ascii="Open Sans" w:eastAsia="Calibri" w:hAnsi="Open Sans" w:cs="Open Sans"/>
          <w:bCs/>
          <w:iCs/>
          <w:noProof/>
          <w:sz w:val="22"/>
          <w:szCs w:val="22"/>
        </w:rPr>
      </w:pPr>
      <w:r w:rsidRPr="0001222D">
        <w:rPr>
          <w:rFonts w:ascii="Open Sans" w:eastAsia="Calibri" w:hAnsi="Open Sans" w:cs="Open Sans"/>
          <w:bCs/>
          <w:iCs/>
          <w:noProof/>
          <w:sz w:val="22"/>
          <w:szCs w:val="22"/>
        </w:rPr>
        <w:t>%  of women across total workforce</w:t>
      </w:r>
    </w:p>
    <w:p w14:paraId="019C0DD2" w14:textId="24B906C1" w:rsidR="00C01496" w:rsidRPr="0001222D" w:rsidRDefault="00C01496" w:rsidP="00C01496">
      <w:pPr>
        <w:pStyle w:val="ListParagraph"/>
        <w:numPr>
          <w:ilvl w:val="0"/>
          <w:numId w:val="8"/>
        </w:numPr>
        <w:spacing w:after="0" w:line="240" w:lineRule="auto"/>
        <w:contextualSpacing w:val="0"/>
        <w:jc w:val="both"/>
        <w:rPr>
          <w:rFonts w:ascii="Open Sans" w:eastAsia="Calibri" w:hAnsi="Open Sans" w:cs="Open Sans"/>
          <w:bCs/>
          <w:iCs/>
          <w:noProof/>
          <w:sz w:val="22"/>
          <w:szCs w:val="22"/>
        </w:rPr>
      </w:pPr>
      <w:r w:rsidRPr="0001222D">
        <w:rPr>
          <w:rFonts w:ascii="Open Sans" w:eastAsia="Calibri" w:hAnsi="Open Sans" w:cs="Open Sans"/>
          <w:bCs/>
          <w:iCs/>
          <w:noProof/>
          <w:sz w:val="22"/>
          <w:szCs w:val="22"/>
        </w:rPr>
        <w:t xml:space="preserve">% of women on </w:t>
      </w:r>
      <w:r w:rsidR="001F50B7">
        <w:rPr>
          <w:rFonts w:ascii="Open Sans" w:eastAsia="Calibri" w:hAnsi="Open Sans" w:cs="Open Sans"/>
          <w:bCs/>
          <w:iCs/>
          <w:noProof/>
          <w:sz w:val="22"/>
          <w:szCs w:val="22"/>
        </w:rPr>
        <w:t xml:space="preserve">the </w:t>
      </w:r>
      <w:r w:rsidRPr="0001222D">
        <w:rPr>
          <w:rFonts w:ascii="Open Sans" w:eastAsia="Calibri" w:hAnsi="Open Sans" w:cs="Open Sans"/>
          <w:bCs/>
          <w:iCs/>
          <w:noProof/>
          <w:sz w:val="22"/>
          <w:szCs w:val="22"/>
        </w:rPr>
        <w:t>Board of Directors</w:t>
      </w:r>
    </w:p>
    <w:p w14:paraId="5ACAE4FD" w14:textId="77777777" w:rsidR="00C01496" w:rsidRDefault="00C01496" w:rsidP="00C01496">
      <w:pPr>
        <w:pStyle w:val="ListParagraph"/>
        <w:numPr>
          <w:ilvl w:val="0"/>
          <w:numId w:val="8"/>
        </w:numPr>
        <w:spacing w:after="0" w:line="240" w:lineRule="auto"/>
        <w:contextualSpacing w:val="0"/>
        <w:jc w:val="both"/>
        <w:rPr>
          <w:rFonts w:ascii="Open Sans" w:eastAsia="Calibri" w:hAnsi="Open Sans" w:cs="Open Sans"/>
          <w:bCs/>
          <w:iCs/>
          <w:noProof/>
          <w:sz w:val="22"/>
          <w:szCs w:val="22"/>
        </w:rPr>
      </w:pPr>
      <w:r w:rsidRPr="0001222D">
        <w:rPr>
          <w:rFonts w:ascii="Open Sans" w:eastAsia="Calibri" w:hAnsi="Open Sans" w:cs="Open Sans"/>
          <w:bCs/>
          <w:iCs/>
          <w:noProof/>
          <w:sz w:val="22"/>
          <w:szCs w:val="22"/>
        </w:rPr>
        <w:lastRenderedPageBreak/>
        <w:t>% of investments without processes and compliance mechanisms to monitor human rights compliance (UN Guiding Principles on Business and Human Rights)</w:t>
      </w:r>
    </w:p>
    <w:p w14:paraId="0D549F31" w14:textId="77777777" w:rsidR="00291FB5" w:rsidRPr="0001222D" w:rsidRDefault="00291FB5" w:rsidP="00291FB5">
      <w:pPr>
        <w:pStyle w:val="ListParagraph"/>
        <w:spacing w:after="0" w:line="240" w:lineRule="auto"/>
        <w:contextualSpacing w:val="0"/>
        <w:jc w:val="both"/>
        <w:rPr>
          <w:rFonts w:ascii="Open Sans" w:eastAsia="Calibri" w:hAnsi="Open Sans" w:cs="Open Sans"/>
          <w:bCs/>
          <w:iCs/>
          <w:noProof/>
          <w:sz w:val="22"/>
          <w:szCs w:val="22"/>
        </w:rPr>
      </w:pPr>
    </w:p>
    <w:tbl>
      <w:tblPr>
        <w:tblStyle w:val="TableGrid"/>
        <w:tblW w:w="9019" w:type="dxa"/>
        <w:tblInd w:w="-5" w:type="dxa"/>
        <w:tblBorders>
          <w:insideH w:val="none" w:sz="0" w:space="0" w:color="auto"/>
          <w:insideV w:val="none" w:sz="0" w:space="0" w:color="auto"/>
        </w:tblBorders>
        <w:shd w:val="clear" w:color="auto" w:fill="DAE9F7" w:themeFill="text2" w:themeFillTint="1A"/>
        <w:tblLook w:val="04A0" w:firstRow="1" w:lastRow="0" w:firstColumn="1" w:lastColumn="0" w:noHBand="0" w:noVBand="1"/>
      </w:tblPr>
      <w:tblGrid>
        <w:gridCol w:w="9019"/>
      </w:tblGrid>
      <w:tr w:rsidR="000A276C" w:rsidRPr="00236B9F" w14:paraId="3C836E48" w14:textId="77777777" w:rsidTr="00904DEF">
        <w:tc>
          <w:tcPr>
            <w:tcW w:w="9019" w:type="dxa"/>
            <w:shd w:val="clear" w:color="auto" w:fill="DAE9F7" w:themeFill="text2" w:themeFillTint="1A"/>
          </w:tcPr>
          <w:p w14:paraId="57719C3B" w14:textId="0CB55199" w:rsidR="000A276C" w:rsidRPr="00236B9F" w:rsidRDefault="00291FB5" w:rsidP="008450D9">
            <w:pPr>
              <w:pStyle w:val="ListParagraph"/>
              <w:numPr>
                <w:ilvl w:val="0"/>
                <w:numId w:val="21"/>
              </w:numPr>
              <w:spacing w:after="120"/>
              <w:rPr>
                <w:rFonts w:ascii="Open Sans" w:hAnsi="Open Sans" w:cs="Open Sans"/>
                <w:b/>
                <w:bCs/>
                <w:sz w:val="24"/>
                <w:szCs w:val="24"/>
              </w:rPr>
            </w:pPr>
            <w:r>
              <w:rPr>
                <w:rFonts w:ascii="Open Sans" w:hAnsi="Open Sans" w:cs="Open Sans"/>
                <w:b/>
                <w:bCs/>
                <w:sz w:val="24"/>
                <w:szCs w:val="24"/>
              </w:rPr>
              <w:t>Methodologies</w:t>
            </w:r>
          </w:p>
        </w:tc>
      </w:tr>
    </w:tbl>
    <w:p w14:paraId="7E4DD0BE" w14:textId="28F9E218" w:rsidR="00B67590" w:rsidRPr="0001222D" w:rsidRDefault="00B67590" w:rsidP="00904DEF">
      <w:pPr>
        <w:spacing w:before="240"/>
        <w:jc w:val="both"/>
        <w:rPr>
          <w:rFonts w:ascii="Open Sans" w:hAnsi="Open Sans" w:cs="Open Sans"/>
          <w:sz w:val="22"/>
          <w:szCs w:val="22"/>
        </w:rPr>
      </w:pPr>
      <w:r w:rsidRPr="0001222D">
        <w:rPr>
          <w:rFonts w:ascii="Open Sans" w:hAnsi="Open Sans" w:cs="Open Sans"/>
          <w:sz w:val="22"/>
          <w:szCs w:val="22"/>
        </w:rPr>
        <w:t xml:space="preserve">As a key component of its investment approach, </w:t>
      </w:r>
      <w:r w:rsidR="004D03B4" w:rsidRPr="0001222D">
        <w:rPr>
          <w:rFonts w:ascii="Open Sans" w:hAnsi="Open Sans" w:cs="Open Sans"/>
          <w:sz w:val="22"/>
          <w:szCs w:val="22"/>
        </w:rPr>
        <w:t xml:space="preserve">specific </w:t>
      </w:r>
      <w:r w:rsidR="00F055AC" w:rsidRPr="0001222D">
        <w:rPr>
          <w:rFonts w:ascii="Open Sans" w:hAnsi="Open Sans" w:cs="Open Sans"/>
          <w:sz w:val="22"/>
          <w:szCs w:val="22"/>
        </w:rPr>
        <w:t xml:space="preserve">binding elements </w:t>
      </w:r>
      <w:r w:rsidR="00D94447" w:rsidRPr="0001222D">
        <w:rPr>
          <w:rFonts w:ascii="Open Sans" w:hAnsi="Open Sans" w:cs="Open Sans"/>
          <w:sz w:val="22"/>
          <w:szCs w:val="22"/>
        </w:rPr>
        <w:t xml:space="preserve">are </w:t>
      </w:r>
      <w:r w:rsidR="0005295D">
        <w:rPr>
          <w:rFonts w:ascii="Open Sans" w:hAnsi="Open Sans" w:cs="Open Sans"/>
          <w:sz w:val="22"/>
          <w:szCs w:val="22"/>
        </w:rPr>
        <w:t xml:space="preserve">considered </w:t>
      </w:r>
      <w:r w:rsidR="00AE2A5D" w:rsidRPr="0001222D">
        <w:rPr>
          <w:rFonts w:ascii="Open Sans" w:hAnsi="Open Sans" w:cs="Open Sans"/>
          <w:sz w:val="22"/>
          <w:szCs w:val="22"/>
        </w:rPr>
        <w:t>while making the investment decision. These elements are outlined below:</w:t>
      </w:r>
    </w:p>
    <w:p w14:paraId="0A4E0855" w14:textId="7D0DBC86" w:rsidR="00B67590" w:rsidRPr="0001222D" w:rsidRDefault="00B67590" w:rsidP="00B67590">
      <w:pPr>
        <w:pStyle w:val="ListParagraph"/>
        <w:numPr>
          <w:ilvl w:val="0"/>
          <w:numId w:val="7"/>
        </w:numPr>
        <w:jc w:val="both"/>
        <w:rPr>
          <w:rFonts w:ascii="Open Sans" w:hAnsi="Open Sans" w:cs="Open Sans"/>
          <w:b/>
          <w:bCs/>
          <w:sz w:val="22"/>
          <w:szCs w:val="22"/>
        </w:rPr>
      </w:pPr>
      <w:r w:rsidRPr="0001222D">
        <w:rPr>
          <w:rFonts w:ascii="Open Sans" w:hAnsi="Open Sans" w:cs="Open Sans"/>
          <w:b/>
          <w:bCs/>
          <w:sz w:val="22"/>
          <w:szCs w:val="22"/>
        </w:rPr>
        <w:t>Screening &amp; Exclusions</w:t>
      </w:r>
    </w:p>
    <w:p w14:paraId="7B39A537" w14:textId="70AA8C1E" w:rsidR="00473BFB" w:rsidRPr="0001222D" w:rsidRDefault="003F2D6F" w:rsidP="00B67590">
      <w:pPr>
        <w:tabs>
          <w:tab w:val="left" w:pos="1843"/>
        </w:tabs>
        <w:spacing w:line="259" w:lineRule="auto"/>
        <w:ind w:left="851"/>
        <w:jc w:val="both"/>
        <w:rPr>
          <w:rFonts w:ascii="Open Sans" w:eastAsia="Calibri" w:hAnsi="Open Sans" w:cs="Open Sans"/>
          <w:sz w:val="22"/>
          <w:szCs w:val="22"/>
        </w:rPr>
      </w:pPr>
      <w:r w:rsidRPr="0001222D">
        <w:rPr>
          <w:rFonts w:ascii="Open Sans" w:eastAsia="Calibri" w:hAnsi="Open Sans" w:cs="Open Sans"/>
          <w:sz w:val="22"/>
          <w:szCs w:val="22"/>
        </w:rPr>
        <w:t>The Fund applies a strict exclusion list as part of its responsible investment strategy. This process ensures that the Fund avoids exposure to businesses engaged in activities considered harmful or controversial.</w:t>
      </w:r>
      <w:r w:rsidR="00473BFB" w:rsidRPr="0001222D">
        <w:rPr>
          <w:rFonts w:ascii="Open Sans" w:eastAsia="Calibri" w:hAnsi="Open Sans" w:cs="Open Sans"/>
          <w:sz w:val="22"/>
          <w:szCs w:val="22"/>
        </w:rPr>
        <w:t xml:space="preserve"> </w:t>
      </w:r>
    </w:p>
    <w:p w14:paraId="6EA2495E" w14:textId="24B97E93" w:rsidR="00B67590" w:rsidRPr="0001222D" w:rsidRDefault="00B67590" w:rsidP="00B67590">
      <w:pPr>
        <w:tabs>
          <w:tab w:val="left" w:pos="1843"/>
        </w:tabs>
        <w:spacing w:line="259" w:lineRule="auto"/>
        <w:ind w:left="851"/>
        <w:jc w:val="both"/>
        <w:rPr>
          <w:rFonts w:ascii="Open Sans" w:eastAsia="Calibri" w:hAnsi="Open Sans" w:cs="Open Sans"/>
          <w:sz w:val="22"/>
          <w:szCs w:val="22"/>
        </w:rPr>
      </w:pPr>
      <w:r w:rsidRPr="0001222D">
        <w:rPr>
          <w:rFonts w:ascii="Open Sans" w:eastAsia="Calibri" w:hAnsi="Open Sans" w:cs="Open Sans"/>
          <w:sz w:val="22"/>
          <w:szCs w:val="22"/>
        </w:rPr>
        <w:t xml:space="preserve">As a standard practice, the Investment Manager, when transactions are structured via SPVs, joint ventures or partnerships, excludes any counterparty that derives </w:t>
      </w:r>
    </w:p>
    <w:p w14:paraId="62E58698" w14:textId="5935A987" w:rsidR="00B67590" w:rsidRPr="0001222D" w:rsidRDefault="00AD0C87" w:rsidP="00B67590">
      <w:pPr>
        <w:pStyle w:val="ListParagraph"/>
        <w:numPr>
          <w:ilvl w:val="0"/>
          <w:numId w:val="5"/>
        </w:numPr>
        <w:tabs>
          <w:tab w:val="left" w:pos="1843"/>
        </w:tabs>
        <w:spacing w:line="259" w:lineRule="auto"/>
        <w:contextualSpacing w:val="0"/>
        <w:jc w:val="both"/>
        <w:rPr>
          <w:rFonts w:ascii="Open Sans" w:eastAsia="Calibri" w:hAnsi="Open Sans" w:cs="Open Sans"/>
          <w:sz w:val="22"/>
          <w:szCs w:val="22"/>
        </w:rPr>
      </w:pPr>
      <w:r>
        <w:rPr>
          <w:rFonts w:ascii="Open Sans" w:eastAsia="Calibri" w:hAnsi="Open Sans" w:cs="Open Sans"/>
          <w:sz w:val="22"/>
          <w:szCs w:val="22"/>
        </w:rPr>
        <w:t>A</w:t>
      </w:r>
      <w:r w:rsidR="00B67590" w:rsidRPr="0001222D">
        <w:rPr>
          <w:rFonts w:ascii="Open Sans" w:eastAsia="Calibri" w:hAnsi="Open Sans" w:cs="Open Sans"/>
          <w:sz w:val="22"/>
          <w:szCs w:val="22"/>
        </w:rPr>
        <w:t>ny portion of their revenue from the manufacture, distribution and/or sale of cluster munitions;</w:t>
      </w:r>
    </w:p>
    <w:p w14:paraId="1A696158" w14:textId="1F22E400" w:rsidR="00B67590" w:rsidRPr="0001222D" w:rsidRDefault="00AD0C87" w:rsidP="00B67590">
      <w:pPr>
        <w:pStyle w:val="ListParagraph"/>
        <w:numPr>
          <w:ilvl w:val="0"/>
          <w:numId w:val="5"/>
        </w:numPr>
        <w:tabs>
          <w:tab w:val="left" w:pos="1843"/>
        </w:tabs>
        <w:spacing w:line="259" w:lineRule="auto"/>
        <w:contextualSpacing w:val="0"/>
        <w:jc w:val="both"/>
        <w:rPr>
          <w:rFonts w:ascii="Open Sans" w:eastAsia="Calibri" w:hAnsi="Open Sans" w:cs="Open Sans"/>
          <w:sz w:val="22"/>
          <w:szCs w:val="22"/>
        </w:rPr>
      </w:pPr>
      <w:r>
        <w:rPr>
          <w:rFonts w:ascii="Open Sans" w:eastAsia="Calibri" w:hAnsi="Open Sans" w:cs="Open Sans"/>
          <w:sz w:val="22"/>
          <w:szCs w:val="22"/>
        </w:rPr>
        <w:t>A</w:t>
      </w:r>
      <w:r w:rsidR="00B67590" w:rsidRPr="0001222D">
        <w:rPr>
          <w:rFonts w:ascii="Open Sans" w:eastAsia="Calibri" w:hAnsi="Open Sans" w:cs="Open Sans"/>
          <w:sz w:val="22"/>
          <w:szCs w:val="22"/>
        </w:rPr>
        <w:t>ny portion of their revenue from the manufacture, distribution and/or sale of controversial weapons;</w:t>
      </w:r>
    </w:p>
    <w:p w14:paraId="57C82490" w14:textId="24010E3C" w:rsidR="00B67590" w:rsidRPr="0001222D" w:rsidRDefault="00AD0C87" w:rsidP="00B67590">
      <w:pPr>
        <w:pStyle w:val="ListParagraph"/>
        <w:numPr>
          <w:ilvl w:val="0"/>
          <w:numId w:val="5"/>
        </w:numPr>
        <w:tabs>
          <w:tab w:val="left" w:pos="1843"/>
        </w:tabs>
        <w:spacing w:line="259" w:lineRule="auto"/>
        <w:contextualSpacing w:val="0"/>
        <w:jc w:val="both"/>
        <w:rPr>
          <w:rFonts w:ascii="Open Sans" w:eastAsia="Calibri" w:hAnsi="Open Sans" w:cs="Open Sans"/>
          <w:sz w:val="22"/>
          <w:szCs w:val="22"/>
        </w:rPr>
      </w:pPr>
      <w:r>
        <w:rPr>
          <w:rFonts w:ascii="Open Sans" w:eastAsia="Calibri" w:hAnsi="Open Sans" w:cs="Open Sans"/>
          <w:sz w:val="22"/>
          <w:szCs w:val="22"/>
        </w:rPr>
        <w:t>M</w:t>
      </w:r>
      <w:r w:rsidR="00B67590" w:rsidRPr="0001222D">
        <w:rPr>
          <w:rFonts w:ascii="Open Sans" w:eastAsia="Calibri" w:hAnsi="Open Sans" w:cs="Open Sans"/>
          <w:sz w:val="22"/>
          <w:szCs w:val="22"/>
        </w:rPr>
        <w:t>ore than 10% of their revenue from the manufacture, distribution and/or sale of other types of weapons</w:t>
      </w:r>
    </w:p>
    <w:p w14:paraId="342F9FF9" w14:textId="28E154AC" w:rsidR="00B67590" w:rsidRPr="0001222D" w:rsidRDefault="00AD0C87" w:rsidP="00B67590">
      <w:pPr>
        <w:pStyle w:val="ListParagraph"/>
        <w:numPr>
          <w:ilvl w:val="0"/>
          <w:numId w:val="5"/>
        </w:numPr>
        <w:tabs>
          <w:tab w:val="left" w:pos="1843"/>
        </w:tabs>
        <w:spacing w:line="259" w:lineRule="auto"/>
        <w:contextualSpacing w:val="0"/>
        <w:jc w:val="both"/>
        <w:rPr>
          <w:rFonts w:ascii="Open Sans" w:eastAsia="Calibri" w:hAnsi="Open Sans" w:cs="Open Sans"/>
          <w:sz w:val="22"/>
          <w:szCs w:val="22"/>
        </w:rPr>
      </w:pPr>
      <w:r>
        <w:rPr>
          <w:rFonts w:ascii="Open Sans" w:eastAsia="Calibri" w:hAnsi="Open Sans" w:cs="Open Sans"/>
          <w:sz w:val="22"/>
          <w:szCs w:val="22"/>
        </w:rPr>
        <w:t>M</w:t>
      </w:r>
      <w:r w:rsidR="00B67590" w:rsidRPr="0001222D">
        <w:rPr>
          <w:rFonts w:ascii="Open Sans" w:eastAsia="Calibri" w:hAnsi="Open Sans" w:cs="Open Sans"/>
          <w:sz w:val="22"/>
          <w:szCs w:val="22"/>
        </w:rPr>
        <w:t>ore than 5% of their revenue from the production of tobacco;</w:t>
      </w:r>
    </w:p>
    <w:p w14:paraId="2218F05F" w14:textId="50CDF87C" w:rsidR="00B67590" w:rsidRPr="0001222D" w:rsidRDefault="00AD0C87" w:rsidP="00B67590">
      <w:pPr>
        <w:pStyle w:val="ListParagraph"/>
        <w:numPr>
          <w:ilvl w:val="0"/>
          <w:numId w:val="5"/>
        </w:numPr>
        <w:tabs>
          <w:tab w:val="left" w:pos="1843"/>
        </w:tabs>
        <w:spacing w:line="259" w:lineRule="auto"/>
        <w:contextualSpacing w:val="0"/>
        <w:jc w:val="both"/>
        <w:rPr>
          <w:rFonts w:ascii="Open Sans" w:eastAsia="Calibri" w:hAnsi="Open Sans" w:cs="Open Sans"/>
          <w:sz w:val="22"/>
          <w:szCs w:val="22"/>
        </w:rPr>
      </w:pPr>
      <w:r>
        <w:rPr>
          <w:rFonts w:ascii="Open Sans" w:eastAsia="Calibri" w:hAnsi="Open Sans" w:cs="Open Sans"/>
          <w:sz w:val="22"/>
          <w:szCs w:val="22"/>
        </w:rPr>
        <w:t>M</w:t>
      </w:r>
      <w:r w:rsidR="00B67590" w:rsidRPr="0001222D">
        <w:rPr>
          <w:rFonts w:ascii="Open Sans" w:eastAsia="Calibri" w:hAnsi="Open Sans" w:cs="Open Sans"/>
          <w:sz w:val="22"/>
          <w:szCs w:val="22"/>
        </w:rPr>
        <w:t>ore than 30% of their revenue from the extraction of thermal coal; and</w:t>
      </w:r>
    </w:p>
    <w:p w14:paraId="31CA28FB" w14:textId="2875D2E2" w:rsidR="00B67590" w:rsidRPr="0001222D" w:rsidRDefault="00AD0C87" w:rsidP="00B67590">
      <w:pPr>
        <w:pStyle w:val="ListParagraph"/>
        <w:numPr>
          <w:ilvl w:val="0"/>
          <w:numId w:val="5"/>
        </w:numPr>
        <w:tabs>
          <w:tab w:val="left" w:pos="1843"/>
        </w:tabs>
        <w:spacing w:line="259" w:lineRule="auto"/>
        <w:contextualSpacing w:val="0"/>
        <w:jc w:val="both"/>
        <w:rPr>
          <w:rFonts w:ascii="Open Sans" w:eastAsia="Calibri" w:hAnsi="Open Sans" w:cs="Open Sans"/>
          <w:sz w:val="22"/>
          <w:szCs w:val="22"/>
        </w:rPr>
      </w:pPr>
      <w:r>
        <w:rPr>
          <w:rFonts w:ascii="Open Sans" w:eastAsia="Calibri" w:hAnsi="Open Sans" w:cs="Open Sans"/>
          <w:sz w:val="22"/>
          <w:szCs w:val="22"/>
        </w:rPr>
        <w:t>A</w:t>
      </w:r>
      <w:r w:rsidR="00B67590" w:rsidRPr="0001222D">
        <w:rPr>
          <w:rFonts w:ascii="Open Sans" w:eastAsia="Calibri" w:hAnsi="Open Sans" w:cs="Open Sans"/>
          <w:sz w:val="22"/>
          <w:szCs w:val="22"/>
        </w:rPr>
        <w:t>ny counterparties that have had serious violations of UN Global Compact.</w:t>
      </w:r>
    </w:p>
    <w:p w14:paraId="26EA1666" w14:textId="4CD72860" w:rsidR="00B67590" w:rsidRPr="0001222D" w:rsidRDefault="00B67590" w:rsidP="00B67590">
      <w:pPr>
        <w:pStyle w:val="ListParagraph"/>
        <w:numPr>
          <w:ilvl w:val="0"/>
          <w:numId w:val="7"/>
        </w:numPr>
        <w:jc w:val="both"/>
        <w:rPr>
          <w:rFonts w:ascii="Open Sans" w:hAnsi="Open Sans" w:cs="Open Sans"/>
          <w:b/>
          <w:bCs/>
          <w:sz w:val="22"/>
          <w:szCs w:val="22"/>
        </w:rPr>
      </w:pPr>
      <w:r w:rsidRPr="0001222D">
        <w:rPr>
          <w:rFonts w:ascii="Open Sans" w:hAnsi="Open Sans" w:cs="Open Sans"/>
          <w:b/>
          <w:bCs/>
          <w:sz w:val="22"/>
          <w:szCs w:val="22"/>
        </w:rPr>
        <w:t xml:space="preserve">ESG due diligence: </w:t>
      </w:r>
    </w:p>
    <w:p w14:paraId="43237C99" w14:textId="77777777" w:rsidR="005D0FB6" w:rsidRDefault="00B67590" w:rsidP="00B67590">
      <w:pPr>
        <w:pStyle w:val="ListParagraph"/>
        <w:jc w:val="both"/>
        <w:rPr>
          <w:rFonts w:ascii="Open Sans" w:hAnsi="Open Sans" w:cs="Open Sans"/>
          <w:sz w:val="22"/>
          <w:szCs w:val="22"/>
        </w:rPr>
      </w:pPr>
      <w:r w:rsidRPr="0001222D">
        <w:rPr>
          <w:rFonts w:ascii="Open Sans" w:hAnsi="Open Sans" w:cs="Open Sans"/>
          <w:sz w:val="22"/>
          <w:szCs w:val="22"/>
        </w:rPr>
        <w:t>For the asset under consideration, an ESG checklist is completed.  Specific questions are answered depending on whether the investment is an acquisition or new build, including (i)</w:t>
      </w:r>
      <w:r w:rsidR="0005295D">
        <w:rPr>
          <w:rFonts w:ascii="Open Sans" w:hAnsi="Open Sans" w:cs="Open Sans"/>
          <w:sz w:val="22"/>
          <w:szCs w:val="22"/>
        </w:rPr>
        <w:t xml:space="preserve"> </w:t>
      </w:r>
      <w:r w:rsidRPr="0001222D">
        <w:rPr>
          <w:rFonts w:ascii="Open Sans" w:hAnsi="Open Sans" w:cs="Open Sans"/>
          <w:sz w:val="22"/>
          <w:szCs w:val="22"/>
        </w:rPr>
        <w:t>Energy, water and waste efficiency of the asset, including the review of EPC ratings and measures aimed at reducing greenhouse gas emissions, conserving water, and minimising waste during both development/refurbishment and operational phases. (ii) Affordable and social housing, by verifying whether the investment contributes to access in line with applicable national and/or local definitions, whether through new developments or conversions of existing buildings. (iii) Human rights and labour standards, including the application of the UN Guiding Principles on Business and Human Rights and the OECD Guidelines for Multinational Enterprises. This encompasses fair employment practices, gender diversity, and inclusive workplace policies across the value chain.</w:t>
      </w:r>
      <w:r w:rsidR="005D0FB6">
        <w:rPr>
          <w:rFonts w:ascii="Open Sans" w:hAnsi="Open Sans" w:cs="Open Sans"/>
          <w:sz w:val="22"/>
          <w:szCs w:val="22"/>
        </w:rPr>
        <w:t xml:space="preserve"> </w:t>
      </w:r>
    </w:p>
    <w:p w14:paraId="35A6D58B" w14:textId="77777777" w:rsidR="00B762C4" w:rsidRDefault="00B762C4" w:rsidP="00B67590">
      <w:pPr>
        <w:pStyle w:val="ListParagraph"/>
        <w:jc w:val="both"/>
        <w:rPr>
          <w:rFonts w:ascii="Open Sans" w:hAnsi="Open Sans" w:cs="Open Sans"/>
          <w:sz w:val="22"/>
          <w:szCs w:val="22"/>
        </w:rPr>
      </w:pPr>
    </w:p>
    <w:p w14:paraId="6ABC2B87" w14:textId="436FDE10" w:rsidR="00B67590" w:rsidRPr="0001222D" w:rsidRDefault="00B67590" w:rsidP="00B67590">
      <w:pPr>
        <w:pStyle w:val="ListParagraph"/>
        <w:jc w:val="both"/>
        <w:rPr>
          <w:rFonts w:ascii="Open Sans" w:hAnsi="Open Sans" w:cs="Open Sans"/>
          <w:sz w:val="22"/>
          <w:szCs w:val="22"/>
        </w:rPr>
      </w:pPr>
      <w:r w:rsidRPr="0001222D">
        <w:rPr>
          <w:rFonts w:ascii="Open Sans" w:hAnsi="Open Sans" w:cs="Open Sans"/>
          <w:sz w:val="22"/>
          <w:szCs w:val="22"/>
        </w:rPr>
        <w:t>Additionally, the asset is evaluated with specific screening criteria to assess good governance practices, including sound management structures, employee relations, staff remuneration, and tax compliance.</w:t>
      </w:r>
    </w:p>
    <w:p w14:paraId="2AE13981" w14:textId="77777777" w:rsidR="005D0FB6" w:rsidRPr="0001222D" w:rsidRDefault="005D0FB6" w:rsidP="00B67590">
      <w:pPr>
        <w:pStyle w:val="ListParagraph"/>
        <w:jc w:val="both"/>
        <w:rPr>
          <w:rFonts w:ascii="Open Sans" w:hAnsi="Open Sans" w:cs="Open Sans"/>
          <w:sz w:val="22"/>
          <w:szCs w:val="22"/>
        </w:rPr>
      </w:pPr>
    </w:p>
    <w:p w14:paraId="4FDEBB13" w14:textId="3E401CFE" w:rsidR="00B67590" w:rsidRPr="0001222D" w:rsidRDefault="00B67590" w:rsidP="00B67590">
      <w:pPr>
        <w:pStyle w:val="ListParagraph"/>
        <w:numPr>
          <w:ilvl w:val="0"/>
          <w:numId w:val="7"/>
        </w:numPr>
        <w:jc w:val="both"/>
        <w:rPr>
          <w:rFonts w:ascii="Open Sans" w:hAnsi="Open Sans" w:cs="Open Sans"/>
          <w:sz w:val="22"/>
          <w:szCs w:val="22"/>
        </w:rPr>
      </w:pPr>
      <w:r w:rsidRPr="0001222D">
        <w:rPr>
          <w:rFonts w:ascii="Open Sans" w:hAnsi="Open Sans" w:cs="Open Sans"/>
          <w:b/>
          <w:bCs/>
          <w:sz w:val="22"/>
          <w:szCs w:val="22"/>
        </w:rPr>
        <w:t xml:space="preserve">Technical Building Assessments (TBA): </w:t>
      </w:r>
    </w:p>
    <w:p w14:paraId="2EBBAA5C" w14:textId="5C39877D" w:rsidR="00B67590" w:rsidRPr="0001222D" w:rsidRDefault="00B67590" w:rsidP="00B67590">
      <w:pPr>
        <w:pStyle w:val="ListParagraph"/>
        <w:jc w:val="both"/>
        <w:rPr>
          <w:rFonts w:ascii="Open Sans" w:hAnsi="Open Sans" w:cs="Open Sans"/>
          <w:sz w:val="22"/>
          <w:szCs w:val="22"/>
        </w:rPr>
      </w:pPr>
      <w:r w:rsidRPr="0001222D">
        <w:rPr>
          <w:rFonts w:ascii="Open Sans" w:hAnsi="Open Sans" w:cs="Open Sans"/>
          <w:sz w:val="22"/>
          <w:szCs w:val="22"/>
        </w:rPr>
        <w:t>After completing the due diligence, inspection of the property is undertaken as part of the TBA</w:t>
      </w:r>
      <w:r w:rsidRPr="005D0FB6">
        <w:rPr>
          <w:rFonts w:ascii="Open Sans" w:hAnsi="Open Sans" w:cs="Open Sans"/>
          <w:sz w:val="22"/>
          <w:szCs w:val="22"/>
        </w:rPr>
        <w:t>.</w:t>
      </w:r>
      <w:r w:rsidRPr="0001222D">
        <w:rPr>
          <w:rFonts w:ascii="Open Sans" w:hAnsi="Open Sans" w:cs="Open Sans"/>
          <w:b/>
          <w:bCs/>
          <w:sz w:val="22"/>
          <w:szCs w:val="22"/>
        </w:rPr>
        <w:t xml:space="preserve"> </w:t>
      </w:r>
      <w:r w:rsidRPr="0001222D">
        <w:rPr>
          <w:rFonts w:ascii="Open Sans" w:hAnsi="Open Sans" w:cs="Open Sans"/>
          <w:sz w:val="22"/>
          <w:szCs w:val="22"/>
        </w:rPr>
        <w:t xml:space="preserve">This assessment includes a physical walkthrough of the property to assess the presence of multiple features, including environmental (e.g., energy, water) management systems, energy and water efficient equipment, potential for renewable energy installation, stormwater reuse systems, and detection of malfunctioning equipment. Other information is collected, such as waste procedures, energy audits, and data collection procedures. </w:t>
      </w:r>
      <w:r w:rsidR="000B0F08" w:rsidRPr="0001222D">
        <w:rPr>
          <w:rFonts w:ascii="Open Sans" w:hAnsi="Open Sans" w:cs="Open Sans"/>
          <w:sz w:val="22"/>
          <w:szCs w:val="22"/>
        </w:rPr>
        <w:t>This assessment also provides suggestions for improvements.</w:t>
      </w:r>
    </w:p>
    <w:p w14:paraId="282C303C" w14:textId="77777777" w:rsidR="00471B87" w:rsidRPr="0001222D" w:rsidRDefault="00471B87" w:rsidP="00B67590">
      <w:pPr>
        <w:pStyle w:val="ListParagraph"/>
        <w:jc w:val="both"/>
        <w:rPr>
          <w:rFonts w:ascii="Open Sans" w:hAnsi="Open Sans" w:cs="Open Sans"/>
          <w:sz w:val="22"/>
          <w:szCs w:val="22"/>
        </w:rPr>
      </w:pPr>
    </w:p>
    <w:p w14:paraId="708358D2" w14:textId="424345B0" w:rsidR="00B67590" w:rsidRPr="0001222D" w:rsidRDefault="00B67590" w:rsidP="00B67590">
      <w:pPr>
        <w:pStyle w:val="ListParagraph"/>
        <w:jc w:val="both"/>
        <w:rPr>
          <w:rFonts w:ascii="Open Sans" w:hAnsi="Open Sans" w:cs="Open Sans"/>
          <w:sz w:val="22"/>
          <w:szCs w:val="22"/>
        </w:rPr>
      </w:pPr>
      <w:r w:rsidRPr="0001222D">
        <w:rPr>
          <w:rFonts w:ascii="Open Sans" w:hAnsi="Open Sans" w:cs="Open Sans"/>
          <w:sz w:val="22"/>
          <w:szCs w:val="22"/>
        </w:rPr>
        <w:t xml:space="preserve">As part of the TBA process, an Environmental Site Assessment (ESA) Phase I is also conducted to evaluate site conditions and identify environmental risks if any. If Phase I reveals high-risk concerns, an ESA Phase II may be initiated where reasonably practicable, meaning where the level of risk identified is significant enough to warrant intrusive investigation. If phase II is not feasible, the Fund will ensure that alternative risk management measures are applied. </w:t>
      </w:r>
    </w:p>
    <w:p w14:paraId="770161B2" w14:textId="77777777" w:rsidR="00471B87" w:rsidRDefault="00471B87" w:rsidP="00B67590">
      <w:pPr>
        <w:pStyle w:val="ListParagraph"/>
        <w:jc w:val="both"/>
        <w:rPr>
          <w:rFonts w:ascii="Open Sans" w:hAnsi="Open Sans" w:cs="Open Sans"/>
          <w:sz w:val="22"/>
          <w:szCs w:val="22"/>
        </w:rPr>
      </w:pPr>
    </w:p>
    <w:p w14:paraId="79F3627A" w14:textId="06A15F30" w:rsidR="00B67590" w:rsidRPr="0001222D" w:rsidRDefault="00B67590" w:rsidP="00B67590">
      <w:pPr>
        <w:pStyle w:val="ListParagraph"/>
        <w:numPr>
          <w:ilvl w:val="0"/>
          <w:numId w:val="7"/>
        </w:numPr>
        <w:spacing w:before="240"/>
        <w:jc w:val="both"/>
        <w:rPr>
          <w:rFonts w:ascii="Open Sans" w:hAnsi="Open Sans" w:cs="Open Sans"/>
          <w:b/>
          <w:bCs/>
          <w:sz w:val="22"/>
          <w:szCs w:val="22"/>
        </w:rPr>
      </w:pPr>
      <w:r w:rsidRPr="0001222D">
        <w:rPr>
          <w:rFonts w:ascii="Open Sans" w:hAnsi="Open Sans" w:cs="Open Sans"/>
          <w:b/>
          <w:bCs/>
          <w:sz w:val="22"/>
          <w:szCs w:val="22"/>
        </w:rPr>
        <w:t>Monitoring</w:t>
      </w:r>
    </w:p>
    <w:p w14:paraId="0915DBA2" w14:textId="538EACBD" w:rsidR="00B67590" w:rsidRDefault="00B67590" w:rsidP="00B67590">
      <w:pPr>
        <w:pStyle w:val="ListParagraph"/>
        <w:spacing w:before="240"/>
        <w:jc w:val="both"/>
        <w:rPr>
          <w:rFonts w:ascii="Open Sans" w:hAnsi="Open Sans" w:cs="Open Sans"/>
          <w:sz w:val="22"/>
          <w:szCs w:val="22"/>
        </w:rPr>
      </w:pPr>
      <w:r w:rsidRPr="0001222D">
        <w:rPr>
          <w:rFonts w:ascii="Open Sans" w:hAnsi="Open Sans" w:cs="Open Sans"/>
          <w:sz w:val="22"/>
          <w:szCs w:val="22"/>
        </w:rPr>
        <w:t xml:space="preserve">As part of the ongoing monitoring of the portfolio, the Investment Manager utilises the data collected for </w:t>
      </w:r>
      <w:r w:rsidR="00F557AF">
        <w:rPr>
          <w:rFonts w:ascii="Open Sans" w:hAnsi="Open Sans" w:cs="Open Sans"/>
          <w:sz w:val="22"/>
          <w:szCs w:val="22"/>
        </w:rPr>
        <w:t xml:space="preserve">the identified </w:t>
      </w:r>
      <w:r w:rsidRPr="0001222D">
        <w:rPr>
          <w:rFonts w:ascii="Open Sans" w:hAnsi="Open Sans" w:cs="Open Sans"/>
          <w:sz w:val="22"/>
          <w:szCs w:val="22"/>
        </w:rPr>
        <w:t xml:space="preserve">indicators to ensure the portfolio holdings continue to promote the E/S characteristics. </w:t>
      </w:r>
      <w:r w:rsidR="00FD55DC" w:rsidRPr="0001222D">
        <w:rPr>
          <w:rFonts w:ascii="Open Sans" w:hAnsi="Open Sans" w:cs="Open Sans"/>
          <w:sz w:val="22"/>
          <w:szCs w:val="22"/>
        </w:rPr>
        <w:t>These</w:t>
      </w:r>
      <w:r w:rsidR="009207AF" w:rsidRPr="0001222D">
        <w:rPr>
          <w:rFonts w:ascii="Open Sans" w:hAnsi="Open Sans" w:cs="Open Sans"/>
          <w:sz w:val="22"/>
          <w:szCs w:val="22"/>
        </w:rPr>
        <w:t xml:space="preserve"> KPIs will be monitored and collected by the investment team, with the support of third-party platform</w:t>
      </w:r>
      <w:r w:rsidR="006E37E4">
        <w:rPr>
          <w:rFonts w:ascii="Open Sans" w:hAnsi="Open Sans" w:cs="Open Sans"/>
          <w:sz w:val="22"/>
          <w:szCs w:val="22"/>
        </w:rPr>
        <w:t>s</w:t>
      </w:r>
      <w:r w:rsidR="009207AF" w:rsidRPr="0001222D">
        <w:rPr>
          <w:rFonts w:ascii="Open Sans" w:hAnsi="Open Sans" w:cs="Open Sans"/>
          <w:sz w:val="22"/>
          <w:szCs w:val="22"/>
        </w:rPr>
        <w:t xml:space="preserve"> where necessary. </w:t>
      </w:r>
    </w:p>
    <w:p w14:paraId="7D1DC68A" w14:textId="77777777" w:rsidR="00B762C4" w:rsidRPr="0001222D" w:rsidRDefault="00B762C4" w:rsidP="00B67590">
      <w:pPr>
        <w:pStyle w:val="ListParagraph"/>
        <w:spacing w:before="240"/>
        <w:jc w:val="both"/>
        <w:rPr>
          <w:rFonts w:ascii="Open Sans" w:hAnsi="Open Sans" w:cs="Open Sans"/>
          <w:b/>
          <w:bCs/>
          <w:sz w:val="22"/>
          <w:szCs w:val="22"/>
        </w:rPr>
      </w:pPr>
    </w:p>
    <w:tbl>
      <w:tblPr>
        <w:tblStyle w:val="TableGrid"/>
        <w:tblW w:w="9019" w:type="dxa"/>
        <w:tblInd w:w="-5" w:type="dxa"/>
        <w:tblBorders>
          <w:insideH w:val="none" w:sz="0" w:space="0" w:color="auto"/>
          <w:insideV w:val="none" w:sz="0" w:space="0" w:color="auto"/>
        </w:tblBorders>
        <w:shd w:val="clear" w:color="auto" w:fill="DAE9F7" w:themeFill="text2" w:themeFillTint="1A"/>
        <w:tblLook w:val="04A0" w:firstRow="1" w:lastRow="0" w:firstColumn="1" w:lastColumn="0" w:noHBand="0" w:noVBand="1"/>
      </w:tblPr>
      <w:tblGrid>
        <w:gridCol w:w="9019"/>
      </w:tblGrid>
      <w:tr w:rsidR="000A276C" w:rsidRPr="00236B9F" w14:paraId="1E79979C" w14:textId="77777777" w:rsidTr="00904DEF">
        <w:tc>
          <w:tcPr>
            <w:tcW w:w="9019" w:type="dxa"/>
            <w:shd w:val="clear" w:color="auto" w:fill="DAE9F7" w:themeFill="text2" w:themeFillTint="1A"/>
          </w:tcPr>
          <w:p w14:paraId="3AF9DBFF" w14:textId="44332ABB" w:rsidR="000A276C" w:rsidRPr="00236B9F" w:rsidRDefault="00B762C4" w:rsidP="008450D9">
            <w:pPr>
              <w:pStyle w:val="ListParagraph"/>
              <w:numPr>
                <w:ilvl w:val="0"/>
                <w:numId w:val="21"/>
              </w:numPr>
              <w:spacing w:after="120"/>
              <w:rPr>
                <w:rFonts w:ascii="Open Sans" w:hAnsi="Open Sans" w:cs="Open Sans"/>
                <w:b/>
                <w:bCs/>
                <w:sz w:val="24"/>
                <w:szCs w:val="24"/>
              </w:rPr>
            </w:pPr>
            <w:r w:rsidRPr="00B762C4">
              <w:rPr>
                <w:rFonts w:ascii="Open Sans" w:hAnsi="Open Sans" w:cs="Open Sans"/>
                <w:b/>
                <w:bCs/>
                <w:sz w:val="24"/>
                <w:szCs w:val="24"/>
              </w:rPr>
              <w:t>Data sources and processing</w:t>
            </w:r>
          </w:p>
        </w:tc>
      </w:tr>
    </w:tbl>
    <w:p w14:paraId="0E57D812" w14:textId="2BCCB81D" w:rsidR="00A01A64" w:rsidRDefault="000D4969" w:rsidP="00904DEF">
      <w:pPr>
        <w:spacing w:before="240"/>
        <w:jc w:val="both"/>
        <w:rPr>
          <w:rFonts w:ascii="Open Sans" w:hAnsi="Open Sans" w:cs="Open Sans"/>
          <w:sz w:val="22"/>
          <w:szCs w:val="22"/>
        </w:rPr>
      </w:pPr>
      <w:r w:rsidRPr="000D4969">
        <w:rPr>
          <w:rFonts w:ascii="Open Sans" w:hAnsi="Open Sans" w:cs="Open Sans"/>
          <w:b/>
          <w:bCs/>
          <w:sz w:val="22"/>
          <w:szCs w:val="22"/>
        </w:rPr>
        <w:t>Data sources</w:t>
      </w:r>
      <w:r>
        <w:rPr>
          <w:rFonts w:ascii="Open Sans" w:hAnsi="Open Sans" w:cs="Open Sans"/>
          <w:sz w:val="22"/>
          <w:szCs w:val="22"/>
        </w:rPr>
        <w:t xml:space="preserve">: </w:t>
      </w:r>
      <w:r w:rsidR="00D43C5D" w:rsidRPr="0001222D">
        <w:rPr>
          <w:rFonts w:ascii="Open Sans" w:hAnsi="Open Sans" w:cs="Open Sans"/>
          <w:sz w:val="22"/>
          <w:szCs w:val="22"/>
        </w:rPr>
        <w:t>During the due diligence phase, data is collected through the investment team utili</w:t>
      </w:r>
      <w:r w:rsidR="009654BF">
        <w:rPr>
          <w:rFonts w:ascii="Open Sans" w:hAnsi="Open Sans" w:cs="Open Sans"/>
          <w:sz w:val="22"/>
          <w:szCs w:val="22"/>
        </w:rPr>
        <w:t>s</w:t>
      </w:r>
      <w:r w:rsidR="00D43C5D" w:rsidRPr="0001222D">
        <w:rPr>
          <w:rFonts w:ascii="Open Sans" w:hAnsi="Open Sans" w:cs="Open Sans"/>
          <w:sz w:val="22"/>
          <w:szCs w:val="22"/>
        </w:rPr>
        <w:t>ing standardi</w:t>
      </w:r>
      <w:r w:rsidR="0049592A">
        <w:rPr>
          <w:rFonts w:ascii="Open Sans" w:hAnsi="Open Sans" w:cs="Open Sans"/>
          <w:sz w:val="22"/>
          <w:szCs w:val="22"/>
        </w:rPr>
        <w:t>s</w:t>
      </w:r>
      <w:r w:rsidR="00D43C5D" w:rsidRPr="0001222D">
        <w:rPr>
          <w:rFonts w:ascii="Open Sans" w:hAnsi="Open Sans" w:cs="Open Sans"/>
          <w:sz w:val="22"/>
          <w:szCs w:val="22"/>
        </w:rPr>
        <w:t>ed questionnaires</w:t>
      </w:r>
      <w:r w:rsidR="003656C3">
        <w:rPr>
          <w:rFonts w:ascii="Open Sans" w:hAnsi="Open Sans" w:cs="Open Sans"/>
          <w:sz w:val="22"/>
          <w:szCs w:val="22"/>
        </w:rPr>
        <w:t>/checklists</w:t>
      </w:r>
      <w:r w:rsidR="00D43C5D" w:rsidRPr="0001222D">
        <w:rPr>
          <w:rFonts w:ascii="Open Sans" w:hAnsi="Open Sans" w:cs="Open Sans"/>
          <w:sz w:val="22"/>
          <w:szCs w:val="22"/>
        </w:rPr>
        <w:t xml:space="preserve"> to obtain information. </w:t>
      </w:r>
      <w:r w:rsidR="001F3395" w:rsidRPr="001F3395">
        <w:rPr>
          <w:rFonts w:ascii="Open Sans" w:hAnsi="Open Sans" w:cs="Open Sans"/>
          <w:sz w:val="22"/>
          <w:szCs w:val="22"/>
        </w:rPr>
        <w:t>In the TBA/ESA assessment, information is collected directly from the asset through physical walkthroughs</w:t>
      </w:r>
      <w:r w:rsidR="001F3395">
        <w:rPr>
          <w:rFonts w:ascii="Open Sans" w:hAnsi="Open Sans" w:cs="Open Sans"/>
          <w:sz w:val="22"/>
          <w:szCs w:val="22"/>
        </w:rPr>
        <w:t xml:space="preserve">. Once the asset is part of the portfolio, </w:t>
      </w:r>
      <w:r w:rsidR="008065D0">
        <w:rPr>
          <w:rFonts w:ascii="Open Sans" w:hAnsi="Open Sans" w:cs="Open Sans"/>
          <w:sz w:val="22"/>
          <w:szCs w:val="22"/>
        </w:rPr>
        <w:t xml:space="preserve">data will be collected annually through </w:t>
      </w:r>
      <w:r w:rsidR="00A01A64" w:rsidRPr="00A01A64">
        <w:rPr>
          <w:rFonts w:ascii="Open Sans" w:hAnsi="Open Sans" w:cs="Open Sans"/>
          <w:sz w:val="22"/>
          <w:szCs w:val="22"/>
        </w:rPr>
        <w:t xml:space="preserve">meter readings in common areas of the buildings and/or environmental management systems </w:t>
      </w:r>
      <w:r w:rsidR="00F81EBC">
        <w:rPr>
          <w:rFonts w:ascii="Open Sans" w:hAnsi="Open Sans" w:cs="Open Sans"/>
          <w:sz w:val="22"/>
          <w:szCs w:val="22"/>
        </w:rPr>
        <w:t xml:space="preserve">and/or questionnaires/checklists </w:t>
      </w:r>
      <w:r w:rsidR="00A01A64" w:rsidRPr="00A01A64">
        <w:rPr>
          <w:rFonts w:ascii="Open Sans" w:hAnsi="Open Sans" w:cs="Open Sans"/>
          <w:sz w:val="22"/>
          <w:szCs w:val="22"/>
        </w:rPr>
        <w:t>collect the asset-level data required</w:t>
      </w:r>
      <w:r w:rsidR="00B15FE7">
        <w:rPr>
          <w:rFonts w:ascii="Open Sans" w:hAnsi="Open Sans" w:cs="Open Sans"/>
          <w:sz w:val="22"/>
          <w:szCs w:val="22"/>
        </w:rPr>
        <w:t xml:space="preserve"> with the support of third-party platforms where necessary.</w:t>
      </w:r>
    </w:p>
    <w:p w14:paraId="41D710FB" w14:textId="4C235642" w:rsidR="00FA0DB8" w:rsidRDefault="001F3395" w:rsidP="0001222D">
      <w:pPr>
        <w:jc w:val="both"/>
        <w:rPr>
          <w:rFonts w:ascii="Open Sans" w:hAnsi="Open Sans" w:cs="Open Sans"/>
          <w:sz w:val="22"/>
          <w:szCs w:val="22"/>
        </w:rPr>
      </w:pPr>
      <w:r w:rsidRPr="001F3395">
        <w:rPr>
          <w:rFonts w:ascii="Open Sans" w:hAnsi="Open Sans" w:cs="Open Sans"/>
          <w:b/>
          <w:bCs/>
          <w:sz w:val="22"/>
          <w:szCs w:val="22"/>
        </w:rPr>
        <w:lastRenderedPageBreak/>
        <w:t>Data quality</w:t>
      </w:r>
      <w:r>
        <w:rPr>
          <w:rFonts w:ascii="Open Sans" w:hAnsi="Open Sans" w:cs="Open Sans"/>
          <w:sz w:val="22"/>
          <w:szCs w:val="22"/>
        </w:rPr>
        <w:t>:</w:t>
      </w:r>
      <w:r w:rsidR="00994F21" w:rsidRPr="00994F21">
        <w:rPr>
          <w:rStyle w:val="TitleChar"/>
          <w:rFonts w:eastAsia="Times New Roman" w:cstheme="minorHAnsi"/>
          <w:lang w:eastAsia="en-GB"/>
        </w:rPr>
        <w:t xml:space="preserve"> </w:t>
      </w:r>
      <w:r w:rsidR="00786D68" w:rsidRPr="00786D68">
        <w:rPr>
          <w:rFonts w:ascii="Open Sans" w:hAnsi="Open Sans" w:cs="Open Sans"/>
          <w:sz w:val="22"/>
          <w:szCs w:val="22"/>
        </w:rPr>
        <w:t xml:space="preserve">The Petrus team will work to ensure data quality, as well as access </w:t>
      </w:r>
      <w:r w:rsidR="00786D68">
        <w:rPr>
          <w:rFonts w:ascii="Open Sans" w:hAnsi="Open Sans" w:cs="Open Sans"/>
          <w:sz w:val="22"/>
          <w:szCs w:val="22"/>
        </w:rPr>
        <w:t xml:space="preserve">to </w:t>
      </w:r>
      <w:r w:rsidR="00786D68" w:rsidRPr="00786D68">
        <w:rPr>
          <w:rFonts w:ascii="Open Sans" w:hAnsi="Open Sans" w:cs="Open Sans"/>
          <w:sz w:val="22"/>
          <w:szCs w:val="22"/>
        </w:rPr>
        <w:t>'lost'</w:t>
      </w:r>
      <w:r w:rsidR="00786D68">
        <w:rPr>
          <w:rFonts w:ascii="Open Sans" w:hAnsi="Open Sans" w:cs="Open Sans"/>
          <w:sz w:val="22"/>
          <w:szCs w:val="22"/>
        </w:rPr>
        <w:t xml:space="preserve">, </w:t>
      </w:r>
      <w:r w:rsidR="00786D68" w:rsidRPr="00786D68">
        <w:rPr>
          <w:rFonts w:ascii="Open Sans" w:hAnsi="Open Sans" w:cs="Open Sans"/>
          <w:sz w:val="22"/>
          <w:szCs w:val="22"/>
        </w:rPr>
        <w:t xml:space="preserve">unprovided </w:t>
      </w:r>
      <w:r w:rsidR="00786D68">
        <w:rPr>
          <w:rFonts w:ascii="Open Sans" w:hAnsi="Open Sans" w:cs="Open Sans"/>
          <w:sz w:val="22"/>
          <w:szCs w:val="22"/>
        </w:rPr>
        <w:t xml:space="preserve">and accurate </w:t>
      </w:r>
      <w:r w:rsidR="00786D68" w:rsidRPr="00786D68">
        <w:rPr>
          <w:rFonts w:ascii="Open Sans" w:hAnsi="Open Sans" w:cs="Open Sans"/>
          <w:sz w:val="22"/>
          <w:szCs w:val="22"/>
        </w:rPr>
        <w:t>data. If necessary, third-party platforms will be used to ensure data quality</w:t>
      </w:r>
      <w:r w:rsidR="00786D68">
        <w:rPr>
          <w:rFonts w:ascii="Open Sans" w:hAnsi="Open Sans" w:cs="Open Sans"/>
          <w:sz w:val="22"/>
          <w:szCs w:val="22"/>
        </w:rPr>
        <w:t>.</w:t>
      </w:r>
      <w:r w:rsidR="00C15987" w:rsidRPr="00C15987">
        <w:t xml:space="preserve"> </w:t>
      </w:r>
      <w:r w:rsidR="006861DF" w:rsidRPr="006861DF">
        <w:rPr>
          <w:rFonts w:ascii="Open Sans" w:hAnsi="Open Sans" w:cs="Open Sans"/>
          <w:sz w:val="22"/>
          <w:szCs w:val="22"/>
        </w:rPr>
        <w:t>Quality controls may include cross</w:t>
      </w:r>
      <w:r w:rsidR="006861DF" w:rsidRPr="006861DF">
        <w:rPr>
          <w:rFonts w:ascii="Open Sans" w:hAnsi="Open Sans" w:cs="Open Sans"/>
          <w:sz w:val="22"/>
          <w:szCs w:val="22"/>
        </w:rPr>
        <w:noBreakHyphen/>
        <w:t>checking information against historical records, validating potential anomalies with asset managers, and</w:t>
      </w:r>
      <w:r w:rsidR="0018540B">
        <w:rPr>
          <w:rFonts w:ascii="Open Sans" w:hAnsi="Open Sans" w:cs="Open Sans"/>
          <w:sz w:val="22"/>
          <w:szCs w:val="22"/>
        </w:rPr>
        <w:t>, where necessary,</w:t>
      </w:r>
      <w:r w:rsidR="006861DF" w:rsidRPr="006861DF">
        <w:rPr>
          <w:rFonts w:ascii="Open Sans" w:hAnsi="Open Sans" w:cs="Open Sans"/>
          <w:sz w:val="22"/>
          <w:szCs w:val="22"/>
        </w:rPr>
        <w:t xml:space="preserve"> using third</w:t>
      </w:r>
      <w:r w:rsidR="006861DF" w:rsidRPr="006861DF">
        <w:rPr>
          <w:rFonts w:ascii="Open Sans" w:hAnsi="Open Sans" w:cs="Open Sans"/>
          <w:sz w:val="22"/>
          <w:szCs w:val="22"/>
        </w:rPr>
        <w:noBreakHyphen/>
        <w:t>party platforms to help standardise and verify data. Petrus will also seek to improve data quality over time, for example by engaging with operators to enhance metering infrastructure or encouraging the gradual adoption of digital monitoring systems, where feasible.</w:t>
      </w:r>
    </w:p>
    <w:p w14:paraId="4074ADB6" w14:textId="2C7A7D1B" w:rsidR="001F3395" w:rsidRDefault="00FA0DB8" w:rsidP="0001222D">
      <w:pPr>
        <w:jc w:val="both"/>
        <w:rPr>
          <w:rFonts w:ascii="Open Sans" w:hAnsi="Open Sans" w:cs="Open Sans"/>
          <w:sz w:val="22"/>
          <w:szCs w:val="22"/>
        </w:rPr>
      </w:pPr>
      <w:r w:rsidRPr="00FA0DB8">
        <w:rPr>
          <w:rFonts w:ascii="Open Sans" w:hAnsi="Open Sans" w:cs="Open Sans"/>
          <w:b/>
          <w:bCs/>
          <w:sz w:val="22"/>
          <w:szCs w:val="22"/>
        </w:rPr>
        <w:t>Data processing</w:t>
      </w:r>
      <w:r>
        <w:rPr>
          <w:rFonts w:ascii="Open Sans" w:hAnsi="Open Sans" w:cs="Open Sans"/>
          <w:sz w:val="22"/>
          <w:szCs w:val="22"/>
        </w:rPr>
        <w:t xml:space="preserve">:  </w:t>
      </w:r>
      <w:r w:rsidR="00145619" w:rsidRPr="00FA0DB8">
        <w:rPr>
          <w:rFonts w:ascii="Open Sans" w:hAnsi="Open Sans" w:cs="Open Sans"/>
          <w:sz w:val="22"/>
          <w:szCs w:val="22"/>
        </w:rPr>
        <w:t xml:space="preserve">The data obtained from the </w:t>
      </w:r>
      <w:r w:rsidR="00145619">
        <w:rPr>
          <w:rFonts w:ascii="Open Sans" w:hAnsi="Open Sans" w:cs="Open Sans"/>
          <w:sz w:val="22"/>
          <w:szCs w:val="22"/>
        </w:rPr>
        <w:t>asset</w:t>
      </w:r>
      <w:r w:rsidR="00145619" w:rsidRPr="00FA0DB8">
        <w:rPr>
          <w:rFonts w:ascii="Open Sans" w:hAnsi="Open Sans" w:cs="Open Sans"/>
          <w:sz w:val="22"/>
          <w:szCs w:val="22"/>
        </w:rPr>
        <w:t xml:space="preserve"> is processed by </w:t>
      </w:r>
      <w:r w:rsidR="00145619">
        <w:rPr>
          <w:rFonts w:ascii="Open Sans" w:hAnsi="Open Sans" w:cs="Open Sans"/>
          <w:sz w:val="22"/>
          <w:szCs w:val="22"/>
        </w:rPr>
        <w:t>Petrus</w:t>
      </w:r>
      <w:r w:rsidR="00145619" w:rsidRPr="00FA0DB8">
        <w:rPr>
          <w:rFonts w:ascii="Open Sans" w:hAnsi="Open Sans" w:cs="Open Sans"/>
          <w:sz w:val="22"/>
          <w:szCs w:val="22"/>
        </w:rPr>
        <w:t xml:space="preserve"> team with the </w:t>
      </w:r>
      <w:r w:rsidR="00145619">
        <w:rPr>
          <w:rFonts w:ascii="Open Sans" w:hAnsi="Open Sans" w:cs="Open Sans"/>
          <w:sz w:val="22"/>
          <w:szCs w:val="22"/>
        </w:rPr>
        <w:t>support, where necessary, of third-party platforms. The data is collected in a digital format</w:t>
      </w:r>
      <w:r w:rsidR="00CD35BC">
        <w:rPr>
          <w:rFonts w:ascii="Open Sans" w:hAnsi="Open Sans" w:cs="Open Sans"/>
          <w:sz w:val="22"/>
          <w:szCs w:val="22"/>
        </w:rPr>
        <w:t xml:space="preserve"> and </w:t>
      </w:r>
      <w:r w:rsidR="00CD35BC" w:rsidRPr="00CD35BC">
        <w:rPr>
          <w:rFonts w:ascii="Open Sans" w:hAnsi="Open Sans" w:cs="Open Sans"/>
          <w:sz w:val="22"/>
          <w:szCs w:val="22"/>
        </w:rPr>
        <w:t>Petrus will try, in the measure possible, to use automated validation checks</w:t>
      </w:r>
      <w:r w:rsidR="003674D0">
        <w:rPr>
          <w:rFonts w:ascii="Open Sans" w:hAnsi="Open Sans" w:cs="Open Sans"/>
          <w:sz w:val="22"/>
          <w:szCs w:val="22"/>
        </w:rPr>
        <w:t xml:space="preserve"> </w:t>
      </w:r>
      <w:r w:rsidR="00CD35BC" w:rsidRPr="00CD35BC">
        <w:rPr>
          <w:rFonts w:ascii="Open Sans" w:hAnsi="Open Sans" w:cs="Open Sans"/>
          <w:sz w:val="22"/>
          <w:szCs w:val="22"/>
        </w:rPr>
        <w:t>to help identify potential inconsistencies, missing fields or outliers before the information is incorporated into internal ESG dashboards and reporting tools.</w:t>
      </w:r>
    </w:p>
    <w:p w14:paraId="627F506F" w14:textId="21AF6AB6" w:rsidR="00786D68" w:rsidRDefault="00786D68" w:rsidP="0001222D">
      <w:pPr>
        <w:jc w:val="both"/>
        <w:rPr>
          <w:rFonts w:ascii="Open Sans" w:hAnsi="Open Sans" w:cs="Open Sans"/>
          <w:sz w:val="22"/>
          <w:szCs w:val="22"/>
        </w:rPr>
      </w:pPr>
      <w:r w:rsidRPr="00786D68">
        <w:rPr>
          <w:rFonts w:ascii="Open Sans" w:hAnsi="Open Sans" w:cs="Open Sans"/>
          <w:b/>
          <w:bCs/>
          <w:sz w:val="22"/>
          <w:szCs w:val="22"/>
        </w:rPr>
        <w:t>Data estimation</w:t>
      </w:r>
      <w:r>
        <w:rPr>
          <w:rFonts w:ascii="Open Sans" w:hAnsi="Open Sans" w:cs="Open Sans"/>
          <w:sz w:val="22"/>
          <w:szCs w:val="22"/>
        </w:rPr>
        <w:t xml:space="preserve">: </w:t>
      </w:r>
      <w:r w:rsidR="00CA62D6" w:rsidRPr="00CA62D6">
        <w:rPr>
          <w:rFonts w:ascii="Open Sans" w:hAnsi="Open Sans" w:cs="Open Sans"/>
          <w:sz w:val="22"/>
          <w:szCs w:val="22"/>
        </w:rPr>
        <w:t>With the limitations mentioned above, Petrus will try to minimize the use of estimated data, whenever possible</w:t>
      </w:r>
      <w:r w:rsidR="00CA62D6">
        <w:rPr>
          <w:rFonts w:ascii="Open Sans" w:hAnsi="Open Sans" w:cs="Open Sans"/>
          <w:sz w:val="22"/>
          <w:szCs w:val="22"/>
        </w:rPr>
        <w:t>.</w:t>
      </w:r>
      <w:r w:rsidR="000D2910">
        <w:rPr>
          <w:rFonts w:ascii="Open Sans" w:hAnsi="Open Sans" w:cs="Open Sans"/>
          <w:sz w:val="22"/>
          <w:szCs w:val="22"/>
        </w:rPr>
        <w:t xml:space="preserve"> </w:t>
      </w:r>
      <w:r w:rsidR="006750A1" w:rsidRPr="006750A1">
        <w:rPr>
          <w:rFonts w:ascii="Open Sans" w:hAnsi="Open Sans" w:cs="Open Sans"/>
          <w:sz w:val="22"/>
          <w:szCs w:val="22"/>
        </w:rPr>
        <w:t>Estimates may be used only in cases where primary data is temporarily unavailable (e.g., missing utility invoices, incomplete metering, or delays in operator reporting). In such cases, estimation methodologies rely on historical consumption patterns, comparable assets, or operator</w:t>
      </w:r>
      <w:r w:rsidR="006750A1" w:rsidRPr="006750A1">
        <w:rPr>
          <w:rFonts w:ascii="Open Sans" w:hAnsi="Open Sans" w:cs="Open Sans"/>
          <w:sz w:val="22"/>
          <w:szCs w:val="22"/>
        </w:rPr>
        <w:noBreakHyphen/>
        <w:t>provided benchmarks. Any estimated data is flagged and subsequently replaced once actual data becomes available.</w:t>
      </w:r>
      <w:r w:rsidR="006750A1">
        <w:rPr>
          <w:rFonts w:ascii="Open Sans" w:hAnsi="Open Sans" w:cs="Open Sans"/>
          <w:sz w:val="22"/>
          <w:szCs w:val="22"/>
        </w:rPr>
        <w:t xml:space="preserve"> </w:t>
      </w:r>
    </w:p>
    <w:tbl>
      <w:tblPr>
        <w:tblStyle w:val="TableGrid"/>
        <w:tblW w:w="9019" w:type="dxa"/>
        <w:tblInd w:w="-5" w:type="dxa"/>
        <w:tblBorders>
          <w:insideH w:val="none" w:sz="0" w:space="0" w:color="auto"/>
          <w:insideV w:val="none" w:sz="0" w:space="0" w:color="auto"/>
        </w:tblBorders>
        <w:shd w:val="clear" w:color="auto" w:fill="DAE9F7" w:themeFill="text2" w:themeFillTint="1A"/>
        <w:tblLook w:val="04A0" w:firstRow="1" w:lastRow="0" w:firstColumn="1" w:lastColumn="0" w:noHBand="0" w:noVBand="1"/>
      </w:tblPr>
      <w:tblGrid>
        <w:gridCol w:w="9019"/>
      </w:tblGrid>
      <w:tr w:rsidR="008F3EDC" w:rsidRPr="00236B9F" w14:paraId="0E4A675A" w14:textId="77777777" w:rsidTr="00904DEF">
        <w:tc>
          <w:tcPr>
            <w:tcW w:w="9019" w:type="dxa"/>
            <w:shd w:val="clear" w:color="auto" w:fill="DAE9F7" w:themeFill="text2" w:themeFillTint="1A"/>
          </w:tcPr>
          <w:p w14:paraId="01C8C56C" w14:textId="0BE920B5" w:rsidR="008F3EDC" w:rsidRPr="00236B9F" w:rsidRDefault="00B762C4" w:rsidP="00B762C4">
            <w:pPr>
              <w:pStyle w:val="ListParagraph"/>
              <w:numPr>
                <w:ilvl w:val="0"/>
                <w:numId w:val="21"/>
              </w:numPr>
              <w:spacing w:after="120"/>
              <w:rPr>
                <w:rFonts w:ascii="Open Sans" w:hAnsi="Open Sans" w:cs="Open Sans"/>
                <w:b/>
                <w:bCs/>
                <w:sz w:val="24"/>
                <w:szCs w:val="24"/>
              </w:rPr>
            </w:pPr>
            <w:r w:rsidRPr="00B762C4">
              <w:rPr>
                <w:rFonts w:ascii="Open Sans" w:hAnsi="Open Sans" w:cs="Open Sans"/>
                <w:b/>
                <w:bCs/>
                <w:sz w:val="24"/>
                <w:szCs w:val="24"/>
              </w:rPr>
              <w:t>Limitations to methodologies and data</w:t>
            </w:r>
          </w:p>
        </w:tc>
      </w:tr>
    </w:tbl>
    <w:p w14:paraId="1A0FF405" w14:textId="3E3661C7" w:rsidR="00E1695D" w:rsidRPr="00E1695D" w:rsidRDefault="00610405" w:rsidP="00E1695D">
      <w:pPr>
        <w:jc w:val="both"/>
        <w:rPr>
          <w:rFonts w:ascii="Open Sans" w:hAnsi="Open Sans" w:cs="Open Sans"/>
          <w:sz w:val="22"/>
          <w:szCs w:val="22"/>
        </w:rPr>
      </w:pPr>
      <w:r>
        <w:rPr>
          <w:rFonts w:ascii="Open Sans" w:hAnsi="Open Sans" w:cs="Open Sans"/>
          <w:sz w:val="22"/>
          <w:szCs w:val="22"/>
        </w:rPr>
        <w:br/>
      </w:r>
      <w:r w:rsidR="00C429C4" w:rsidRPr="00E1695D">
        <w:rPr>
          <w:rFonts w:ascii="Open Sans" w:hAnsi="Open Sans" w:cs="Open Sans"/>
          <w:sz w:val="22"/>
          <w:szCs w:val="22"/>
        </w:rPr>
        <w:t xml:space="preserve">There are inherent limitations of </w:t>
      </w:r>
      <w:r w:rsidR="008448E7" w:rsidRPr="00E1695D">
        <w:rPr>
          <w:rFonts w:ascii="Open Sans" w:hAnsi="Open Sans" w:cs="Open Sans"/>
          <w:sz w:val="22"/>
          <w:szCs w:val="22"/>
        </w:rPr>
        <w:t xml:space="preserve">methodologies </w:t>
      </w:r>
      <w:r w:rsidR="00C429C4" w:rsidRPr="00E1695D">
        <w:rPr>
          <w:rFonts w:ascii="Open Sans" w:hAnsi="Open Sans" w:cs="Open Sans"/>
          <w:sz w:val="22"/>
          <w:szCs w:val="22"/>
        </w:rPr>
        <w:t xml:space="preserve">used to assess ESG performance including </w:t>
      </w:r>
      <w:r w:rsidR="007746DB" w:rsidRPr="00E1695D">
        <w:rPr>
          <w:rFonts w:ascii="Open Sans" w:hAnsi="Open Sans" w:cs="Open Sans"/>
          <w:sz w:val="22"/>
          <w:szCs w:val="22"/>
        </w:rPr>
        <w:t xml:space="preserve">lack of </w:t>
      </w:r>
      <w:r w:rsidR="00C429C4" w:rsidRPr="00E1695D">
        <w:rPr>
          <w:rFonts w:ascii="Open Sans" w:hAnsi="Open Sans" w:cs="Open Sans"/>
          <w:sz w:val="22"/>
          <w:szCs w:val="22"/>
        </w:rPr>
        <w:t xml:space="preserve">available data, </w:t>
      </w:r>
      <w:r w:rsidR="004E4631" w:rsidRPr="00E1695D">
        <w:rPr>
          <w:rFonts w:ascii="Open Sans" w:hAnsi="Open Sans" w:cs="Open Sans"/>
          <w:sz w:val="22"/>
          <w:szCs w:val="22"/>
        </w:rPr>
        <w:t>lack of reliability</w:t>
      </w:r>
      <w:r w:rsidR="00C429C4" w:rsidRPr="00E1695D">
        <w:rPr>
          <w:rFonts w:ascii="Open Sans" w:hAnsi="Open Sans" w:cs="Open Sans"/>
          <w:sz w:val="22"/>
          <w:szCs w:val="22"/>
        </w:rPr>
        <w:t xml:space="preserve"> and </w:t>
      </w:r>
      <w:r w:rsidR="00463C9E" w:rsidRPr="00E1695D">
        <w:rPr>
          <w:rFonts w:ascii="Open Sans" w:hAnsi="Open Sans" w:cs="Open Sans"/>
          <w:sz w:val="22"/>
          <w:szCs w:val="22"/>
        </w:rPr>
        <w:t>lack of consistency between specificities of each installation.</w:t>
      </w:r>
      <w:r w:rsidR="00E1695D" w:rsidRPr="00E1695D">
        <w:rPr>
          <w:rFonts w:ascii="Open Sans" w:hAnsi="Open Sans" w:cs="Open Sans"/>
          <w:sz w:val="22"/>
          <w:szCs w:val="22"/>
        </w:rPr>
        <w:t xml:space="preserve"> </w:t>
      </w:r>
      <w:r w:rsidR="0070664F" w:rsidRPr="0070664F">
        <w:rPr>
          <w:rFonts w:ascii="Open Sans" w:hAnsi="Open Sans" w:cs="Open Sans"/>
          <w:sz w:val="22"/>
          <w:szCs w:val="22"/>
        </w:rPr>
        <w:t>In the real estate sector, these limitations may be accentuated by factors such as incomplete or outdated metering systems, variations in building management practices, or the absence of sub</w:t>
      </w:r>
      <w:r w:rsidR="0070664F" w:rsidRPr="0070664F">
        <w:rPr>
          <w:rFonts w:ascii="Open Sans" w:hAnsi="Open Sans" w:cs="Open Sans"/>
          <w:sz w:val="22"/>
          <w:szCs w:val="22"/>
        </w:rPr>
        <w:noBreakHyphen/>
        <w:t>metering for certain utilities</w:t>
      </w:r>
      <w:r w:rsidR="0070664F">
        <w:rPr>
          <w:rFonts w:ascii="Open Sans" w:hAnsi="Open Sans" w:cs="Open Sans"/>
          <w:sz w:val="22"/>
          <w:szCs w:val="22"/>
        </w:rPr>
        <w:t xml:space="preserve">. </w:t>
      </w:r>
      <w:r w:rsidR="00E1695D" w:rsidRPr="00E1695D">
        <w:rPr>
          <w:rFonts w:ascii="Open Sans" w:hAnsi="Open Sans" w:cs="Open Sans"/>
          <w:sz w:val="22"/>
          <w:szCs w:val="22"/>
        </w:rPr>
        <w:t>The Fund expects to improve data quality and minimise the limitations mentioned above as the reporting process improves over time.</w:t>
      </w:r>
    </w:p>
    <w:tbl>
      <w:tblPr>
        <w:tblStyle w:val="TableGrid"/>
        <w:tblW w:w="9019" w:type="dxa"/>
        <w:tblInd w:w="-5" w:type="dxa"/>
        <w:tblBorders>
          <w:insideH w:val="none" w:sz="0" w:space="0" w:color="auto"/>
          <w:insideV w:val="none" w:sz="0" w:space="0" w:color="auto"/>
        </w:tblBorders>
        <w:shd w:val="clear" w:color="auto" w:fill="DAE9F7" w:themeFill="text2" w:themeFillTint="1A"/>
        <w:tblLook w:val="04A0" w:firstRow="1" w:lastRow="0" w:firstColumn="1" w:lastColumn="0" w:noHBand="0" w:noVBand="1"/>
      </w:tblPr>
      <w:tblGrid>
        <w:gridCol w:w="9019"/>
      </w:tblGrid>
      <w:tr w:rsidR="008F3EDC" w:rsidRPr="00236B9F" w14:paraId="304CB825" w14:textId="77777777" w:rsidTr="00904DEF">
        <w:tc>
          <w:tcPr>
            <w:tcW w:w="9019" w:type="dxa"/>
            <w:shd w:val="clear" w:color="auto" w:fill="DAE9F7" w:themeFill="text2" w:themeFillTint="1A"/>
          </w:tcPr>
          <w:p w14:paraId="163953B3" w14:textId="1966ECC8" w:rsidR="008F3EDC" w:rsidRPr="00236B9F" w:rsidRDefault="00B762C4" w:rsidP="00B762C4">
            <w:pPr>
              <w:pStyle w:val="ListParagraph"/>
              <w:numPr>
                <w:ilvl w:val="0"/>
                <w:numId w:val="21"/>
              </w:numPr>
              <w:spacing w:after="120"/>
              <w:rPr>
                <w:rFonts w:ascii="Open Sans" w:hAnsi="Open Sans" w:cs="Open Sans"/>
                <w:b/>
                <w:bCs/>
                <w:sz w:val="24"/>
                <w:szCs w:val="24"/>
              </w:rPr>
            </w:pPr>
            <w:r w:rsidRPr="00B762C4">
              <w:rPr>
                <w:rFonts w:ascii="Open Sans" w:hAnsi="Open Sans" w:cs="Open Sans"/>
                <w:b/>
                <w:bCs/>
                <w:sz w:val="24"/>
                <w:szCs w:val="24"/>
              </w:rPr>
              <w:t>Due diligence</w:t>
            </w:r>
          </w:p>
        </w:tc>
      </w:tr>
    </w:tbl>
    <w:p w14:paraId="64416967" w14:textId="7F0810DE" w:rsidR="00FA3766" w:rsidRPr="0001222D" w:rsidRDefault="00140786" w:rsidP="00904DEF">
      <w:pPr>
        <w:spacing w:before="240"/>
        <w:jc w:val="both"/>
        <w:rPr>
          <w:rFonts w:ascii="Open Sans" w:hAnsi="Open Sans" w:cs="Open Sans"/>
          <w:sz w:val="22"/>
          <w:szCs w:val="22"/>
        </w:rPr>
      </w:pPr>
      <w:r w:rsidRPr="0001222D">
        <w:rPr>
          <w:rFonts w:ascii="Open Sans" w:hAnsi="Open Sans" w:cs="Open Sans"/>
          <w:sz w:val="22"/>
          <w:szCs w:val="22"/>
        </w:rPr>
        <w:t xml:space="preserve">For each investment, an ESG checklist is completed, as well as specific questions depending on whether the investment is an acquisition or </w:t>
      </w:r>
      <w:r w:rsidR="00552B42">
        <w:rPr>
          <w:rFonts w:ascii="Open Sans" w:hAnsi="Open Sans" w:cs="Open Sans"/>
          <w:sz w:val="22"/>
          <w:szCs w:val="22"/>
        </w:rPr>
        <w:t>new build</w:t>
      </w:r>
      <w:r w:rsidR="00FA3766" w:rsidRPr="0001222D">
        <w:rPr>
          <w:rFonts w:ascii="Open Sans" w:hAnsi="Open Sans" w:cs="Open Sans"/>
          <w:sz w:val="22"/>
          <w:szCs w:val="22"/>
        </w:rPr>
        <w:t xml:space="preserve">. The screening includes specific questions </w:t>
      </w:r>
      <w:r w:rsidR="00B80087" w:rsidRPr="0001222D">
        <w:rPr>
          <w:rFonts w:ascii="Open Sans" w:hAnsi="Open Sans" w:cs="Open Sans"/>
          <w:sz w:val="22"/>
          <w:szCs w:val="22"/>
        </w:rPr>
        <w:t xml:space="preserve">for </w:t>
      </w:r>
      <w:r w:rsidR="00FA3766" w:rsidRPr="0001222D">
        <w:rPr>
          <w:rFonts w:ascii="Open Sans" w:hAnsi="Open Sans" w:cs="Open Sans"/>
          <w:sz w:val="22"/>
          <w:szCs w:val="22"/>
        </w:rPr>
        <w:t>(</w:t>
      </w:r>
      <w:r w:rsidR="009C2CBB">
        <w:rPr>
          <w:rFonts w:ascii="Open Sans" w:hAnsi="Open Sans" w:cs="Open Sans"/>
          <w:sz w:val="22"/>
          <w:szCs w:val="22"/>
        </w:rPr>
        <w:t>i</w:t>
      </w:r>
      <w:r w:rsidR="00FA3766" w:rsidRPr="0001222D">
        <w:rPr>
          <w:rFonts w:ascii="Open Sans" w:hAnsi="Open Sans" w:cs="Open Sans"/>
          <w:sz w:val="22"/>
          <w:szCs w:val="22"/>
        </w:rPr>
        <w:t>) Energy, water and waste efficiency of the asset, including the review of EPC ratings and measures aimed at reducing greenhouse gas emissions, conserving water, and minimising waste during both development/refurbishment and operational phases, (</w:t>
      </w:r>
      <w:r w:rsidR="009C2CBB">
        <w:rPr>
          <w:rFonts w:ascii="Open Sans" w:hAnsi="Open Sans" w:cs="Open Sans"/>
          <w:sz w:val="22"/>
          <w:szCs w:val="22"/>
        </w:rPr>
        <w:t>ii</w:t>
      </w:r>
      <w:r w:rsidR="00FA3766" w:rsidRPr="0001222D">
        <w:rPr>
          <w:rFonts w:ascii="Open Sans" w:hAnsi="Open Sans" w:cs="Open Sans"/>
          <w:sz w:val="22"/>
          <w:szCs w:val="22"/>
        </w:rPr>
        <w:t xml:space="preserve">) Affordable and social housing, by verifying whether the investment contributes to access in line with applicable national and/or local definitions, </w:t>
      </w:r>
      <w:r w:rsidR="00FA3766" w:rsidRPr="0001222D">
        <w:rPr>
          <w:rFonts w:ascii="Open Sans" w:hAnsi="Open Sans" w:cs="Open Sans"/>
          <w:sz w:val="22"/>
          <w:szCs w:val="22"/>
        </w:rPr>
        <w:lastRenderedPageBreak/>
        <w:t>whether through new developments or conversions of existing buildings, (</w:t>
      </w:r>
      <w:r w:rsidR="009C2CBB">
        <w:rPr>
          <w:rFonts w:ascii="Open Sans" w:hAnsi="Open Sans" w:cs="Open Sans"/>
          <w:sz w:val="22"/>
          <w:szCs w:val="22"/>
        </w:rPr>
        <w:t>iii</w:t>
      </w:r>
      <w:r w:rsidR="00FA3766" w:rsidRPr="0001222D">
        <w:rPr>
          <w:rFonts w:ascii="Open Sans" w:hAnsi="Open Sans" w:cs="Open Sans"/>
          <w:sz w:val="22"/>
          <w:szCs w:val="22"/>
        </w:rPr>
        <w:t xml:space="preserve">) Human rights and labour standards, including the application of the UN Guiding Principles on Business and Human Rights and the OECD Guidelines for Multinational Enterprises. This encompasses fair employment practices, gender diversity, and inclusive workplace policies across the value chain. </w:t>
      </w:r>
    </w:p>
    <w:p w14:paraId="0BAD67E4" w14:textId="0FF5D036" w:rsidR="002B4288" w:rsidRDefault="00E866B9" w:rsidP="006D636A">
      <w:pPr>
        <w:jc w:val="both"/>
        <w:rPr>
          <w:rFonts w:ascii="Open Sans" w:hAnsi="Open Sans" w:cs="Open Sans"/>
          <w:sz w:val="22"/>
          <w:szCs w:val="22"/>
        </w:rPr>
      </w:pPr>
      <w:r w:rsidRPr="0001222D">
        <w:rPr>
          <w:rFonts w:ascii="Open Sans" w:hAnsi="Open Sans" w:cs="Open Sans"/>
          <w:sz w:val="22"/>
          <w:szCs w:val="22"/>
        </w:rPr>
        <w:t xml:space="preserve">Additionally, the due diligence process incorporates specific screening criteria to assess good governance practices, including sound management structures, employee relations, staff remuneration, and tax compliance. </w:t>
      </w:r>
      <w:r w:rsidR="006731D7" w:rsidRPr="0001222D">
        <w:rPr>
          <w:rFonts w:ascii="Open Sans" w:hAnsi="Open Sans" w:cs="Open Sans"/>
          <w:sz w:val="22"/>
          <w:szCs w:val="22"/>
        </w:rPr>
        <w:t xml:space="preserve">This </w:t>
      </w:r>
      <w:r w:rsidR="0014030F" w:rsidRPr="0001222D">
        <w:rPr>
          <w:rFonts w:ascii="Open Sans" w:hAnsi="Open Sans" w:cs="Open Sans"/>
          <w:sz w:val="22"/>
          <w:szCs w:val="22"/>
        </w:rPr>
        <w:t xml:space="preserve">governance screening is carried out on an annual basis to ensure that the investments continue to meet the </w:t>
      </w:r>
      <w:r w:rsidR="006731D7" w:rsidRPr="0001222D">
        <w:rPr>
          <w:rFonts w:ascii="Open Sans" w:hAnsi="Open Sans" w:cs="Open Sans"/>
          <w:sz w:val="22"/>
          <w:szCs w:val="22"/>
        </w:rPr>
        <w:t>desired ESG criteria.</w:t>
      </w:r>
    </w:p>
    <w:tbl>
      <w:tblPr>
        <w:tblStyle w:val="TableGrid"/>
        <w:tblW w:w="9019" w:type="dxa"/>
        <w:tblInd w:w="-5" w:type="dxa"/>
        <w:tblBorders>
          <w:insideH w:val="none" w:sz="0" w:space="0" w:color="auto"/>
          <w:insideV w:val="none" w:sz="0" w:space="0" w:color="auto"/>
        </w:tblBorders>
        <w:shd w:val="clear" w:color="auto" w:fill="DAE9F7" w:themeFill="text2" w:themeFillTint="1A"/>
        <w:tblLook w:val="04A0" w:firstRow="1" w:lastRow="0" w:firstColumn="1" w:lastColumn="0" w:noHBand="0" w:noVBand="1"/>
      </w:tblPr>
      <w:tblGrid>
        <w:gridCol w:w="9019"/>
      </w:tblGrid>
      <w:tr w:rsidR="008F3EDC" w:rsidRPr="00236B9F" w14:paraId="2A03043F" w14:textId="77777777" w:rsidTr="00904DEF">
        <w:tc>
          <w:tcPr>
            <w:tcW w:w="9019" w:type="dxa"/>
            <w:shd w:val="clear" w:color="auto" w:fill="DAE9F7" w:themeFill="text2" w:themeFillTint="1A"/>
          </w:tcPr>
          <w:p w14:paraId="3B2F8B62" w14:textId="5B26492F" w:rsidR="008F3EDC" w:rsidRPr="00236B9F" w:rsidRDefault="00B762C4" w:rsidP="00B762C4">
            <w:pPr>
              <w:pStyle w:val="ListParagraph"/>
              <w:numPr>
                <w:ilvl w:val="0"/>
                <w:numId w:val="21"/>
              </w:numPr>
              <w:spacing w:after="120"/>
              <w:rPr>
                <w:rFonts w:ascii="Open Sans" w:hAnsi="Open Sans" w:cs="Open Sans"/>
                <w:b/>
                <w:bCs/>
                <w:sz w:val="24"/>
                <w:szCs w:val="24"/>
              </w:rPr>
            </w:pPr>
            <w:r w:rsidRPr="00B762C4">
              <w:rPr>
                <w:rFonts w:ascii="Open Sans" w:hAnsi="Open Sans" w:cs="Open Sans"/>
                <w:b/>
                <w:bCs/>
                <w:sz w:val="24"/>
                <w:szCs w:val="24"/>
              </w:rPr>
              <w:t>Engagement policies</w:t>
            </w:r>
          </w:p>
        </w:tc>
      </w:tr>
    </w:tbl>
    <w:p w14:paraId="51DD9F02" w14:textId="77777777" w:rsidR="00B762C4" w:rsidRDefault="00CA6A49" w:rsidP="00904DEF">
      <w:pPr>
        <w:spacing w:before="240"/>
        <w:jc w:val="both"/>
        <w:rPr>
          <w:rFonts w:ascii="Open Sans" w:hAnsi="Open Sans" w:cs="Open Sans"/>
          <w:sz w:val="22"/>
          <w:szCs w:val="22"/>
        </w:rPr>
      </w:pPr>
      <w:r w:rsidRPr="0001222D">
        <w:rPr>
          <w:rFonts w:ascii="Open Sans" w:hAnsi="Open Sans" w:cs="Open Sans"/>
          <w:sz w:val="22"/>
          <w:szCs w:val="22"/>
        </w:rPr>
        <w:t xml:space="preserve">The Fund works with multiple stakeholders such as property managers, and </w:t>
      </w:r>
      <w:r w:rsidR="00F31044" w:rsidRPr="0001222D">
        <w:rPr>
          <w:rFonts w:ascii="Open Sans" w:hAnsi="Open Sans" w:cs="Open Sans"/>
          <w:sz w:val="22"/>
          <w:szCs w:val="22"/>
        </w:rPr>
        <w:t>business/operating partners</w:t>
      </w:r>
      <w:r w:rsidR="00FE2F0D">
        <w:rPr>
          <w:rFonts w:ascii="Open Sans" w:hAnsi="Open Sans" w:cs="Open Sans"/>
          <w:sz w:val="22"/>
          <w:szCs w:val="22"/>
        </w:rPr>
        <w:t xml:space="preserve"> </w:t>
      </w:r>
      <w:r w:rsidR="00FE2F0D" w:rsidRPr="0001222D">
        <w:rPr>
          <w:rFonts w:ascii="Open Sans" w:hAnsi="Open Sans" w:cs="Open Sans"/>
          <w:sz w:val="22"/>
          <w:szCs w:val="22"/>
        </w:rPr>
        <w:t>throughout the investment period</w:t>
      </w:r>
      <w:r w:rsidRPr="0001222D">
        <w:rPr>
          <w:rFonts w:ascii="Open Sans" w:hAnsi="Open Sans" w:cs="Open Sans"/>
          <w:sz w:val="22"/>
          <w:szCs w:val="22"/>
        </w:rPr>
        <w:t xml:space="preserve">. Part of the engagement includes an assessment </w:t>
      </w:r>
      <w:r w:rsidR="00FE2F0D">
        <w:rPr>
          <w:rFonts w:ascii="Open Sans" w:hAnsi="Open Sans" w:cs="Open Sans"/>
          <w:sz w:val="22"/>
          <w:szCs w:val="22"/>
        </w:rPr>
        <w:t>of</w:t>
      </w:r>
      <w:r w:rsidRPr="0001222D">
        <w:rPr>
          <w:rFonts w:ascii="Open Sans" w:hAnsi="Open Sans" w:cs="Open Sans"/>
          <w:sz w:val="22"/>
          <w:szCs w:val="22"/>
        </w:rPr>
        <w:t xml:space="preserve"> good governance practices. The Fund may collaborate with these parties on topics such as property assessment </w:t>
      </w:r>
      <w:r w:rsidR="006A5161" w:rsidRPr="0001222D">
        <w:rPr>
          <w:rFonts w:ascii="Open Sans" w:hAnsi="Open Sans" w:cs="Open Sans"/>
          <w:sz w:val="22"/>
          <w:szCs w:val="22"/>
        </w:rPr>
        <w:t>during TBAs</w:t>
      </w:r>
      <w:r w:rsidRPr="0001222D">
        <w:rPr>
          <w:rFonts w:ascii="Open Sans" w:hAnsi="Open Sans" w:cs="Open Sans"/>
          <w:sz w:val="22"/>
          <w:szCs w:val="22"/>
        </w:rPr>
        <w:t>, quality assurance, installation of efficiency measures, and ongoing monitoring and maintena</w:t>
      </w:r>
      <w:r w:rsidR="00564F44" w:rsidRPr="0001222D">
        <w:rPr>
          <w:rFonts w:ascii="Open Sans" w:hAnsi="Open Sans" w:cs="Open Sans"/>
          <w:sz w:val="22"/>
          <w:szCs w:val="22"/>
        </w:rPr>
        <w:t xml:space="preserve">nce. </w:t>
      </w:r>
    </w:p>
    <w:tbl>
      <w:tblPr>
        <w:tblStyle w:val="TableGrid"/>
        <w:tblW w:w="9019" w:type="dxa"/>
        <w:tblInd w:w="-5" w:type="dxa"/>
        <w:tblBorders>
          <w:insideH w:val="none" w:sz="0" w:space="0" w:color="auto"/>
          <w:insideV w:val="none" w:sz="0" w:space="0" w:color="auto"/>
        </w:tblBorders>
        <w:shd w:val="clear" w:color="auto" w:fill="DAE9F7" w:themeFill="text2" w:themeFillTint="1A"/>
        <w:tblLook w:val="04A0" w:firstRow="1" w:lastRow="0" w:firstColumn="1" w:lastColumn="0" w:noHBand="0" w:noVBand="1"/>
      </w:tblPr>
      <w:tblGrid>
        <w:gridCol w:w="9019"/>
      </w:tblGrid>
      <w:tr w:rsidR="00A62E90" w:rsidRPr="00236B9F" w14:paraId="0CE7B67C" w14:textId="77777777" w:rsidTr="00904DEF">
        <w:tc>
          <w:tcPr>
            <w:tcW w:w="9019" w:type="dxa"/>
            <w:shd w:val="clear" w:color="auto" w:fill="DAE9F7" w:themeFill="text2" w:themeFillTint="1A"/>
          </w:tcPr>
          <w:p w14:paraId="4833F917" w14:textId="5B22F17F" w:rsidR="00A62E90" w:rsidRPr="002E11FC" w:rsidRDefault="00A62E90" w:rsidP="002E11FC">
            <w:pPr>
              <w:pStyle w:val="ListParagraph"/>
              <w:numPr>
                <w:ilvl w:val="0"/>
                <w:numId w:val="21"/>
              </w:numPr>
              <w:spacing w:after="120"/>
              <w:rPr>
                <w:rFonts w:ascii="Open Sans" w:hAnsi="Open Sans" w:cs="Open Sans"/>
                <w:b/>
                <w:bCs/>
              </w:rPr>
            </w:pPr>
            <w:r w:rsidRPr="008333FB">
              <w:rPr>
                <w:rFonts w:ascii="Open Sans" w:eastAsiaTheme="minorEastAsia" w:hAnsi="Open Sans" w:cs="Open Sans"/>
                <w:b/>
                <w:sz w:val="24"/>
                <w:szCs w:val="24"/>
              </w:rPr>
              <w:t>Designated reference benchmark</w:t>
            </w:r>
          </w:p>
        </w:tc>
      </w:tr>
    </w:tbl>
    <w:p w14:paraId="1CA9D1F1" w14:textId="7C5A8685" w:rsidR="001325E3" w:rsidRDefault="002B4288" w:rsidP="00904DEF">
      <w:pPr>
        <w:spacing w:before="240"/>
        <w:jc w:val="both"/>
        <w:rPr>
          <w:rFonts w:ascii="Open Sans" w:hAnsi="Open Sans" w:cs="Open Sans"/>
          <w:sz w:val="22"/>
          <w:szCs w:val="22"/>
        </w:rPr>
      </w:pPr>
      <w:r w:rsidRPr="0001222D">
        <w:rPr>
          <w:rFonts w:ascii="Open Sans" w:hAnsi="Open Sans" w:cs="Open Sans"/>
          <w:sz w:val="22"/>
          <w:szCs w:val="22"/>
        </w:rPr>
        <w:t xml:space="preserve">The Investment Manager does not utilise a reference benchmark to determine whether the </w:t>
      </w:r>
      <w:r w:rsidR="00513038" w:rsidRPr="0001222D">
        <w:rPr>
          <w:rFonts w:ascii="Open Sans" w:hAnsi="Open Sans" w:cs="Open Sans"/>
          <w:sz w:val="22"/>
          <w:szCs w:val="22"/>
        </w:rPr>
        <w:t xml:space="preserve">Fund </w:t>
      </w:r>
      <w:r w:rsidRPr="0001222D">
        <w:rPr>
          <w:rFonts w:ascii="Open Sans" w:hAnsi="Open Sans" w:cs="Open Sans"/>
          <w:sz w:val="22"/>
          <w:szCs w:val="22"/>
        </w:rPr>
        <w:t>is aligned with the environmental and/or social characteristics that it promotes</w:t>
      </w:r>
      <w:r w:rsidR="00513038" w:rsidRPr="0001222D">
        <w:rPr>
          <w:rFonts w:ascii="Open Sans" w:hAnsi="Open Sans" w:cs="Open Sans"/>
          <w:sz w:val="22"/>
          <w:szCs w:val="22"/>
        </w:rPr>
        <w:t>.</w:t>
      </w:r>
    </w:p>
    <w:p w14:paraId="74C2F439" w14:textId="77777777" w:rsidR="00C34F25" w:rsidRDefault="00C34F25" w:rsidP="00904DEF">
      <w:pPr>
        <w:spacing w:before="240"/>
        <w:jc w:val="both"/>
        <w:rPr>
          <w:rFonts w:ascii="Open Sans" w:hAnsi="Open Sans" w:cs="Open Sans"/>
          <w:sz w:val="22"/>
          <w:szCs w:val="22"/>
        </w:rPr>
      </w:pPr>
    </w:p>
    <w:p w14:paraId="1E8C87BD" w14:textId="77777777" w:rsidR="00C34F25" w:rsidRDefault="00C34F25" w:rsidP="00904DEF">
      <w:pPr>
        <w:spacing w:before="240"/>
        <w:jc w:val="both"/>
        <w:rPr>
          <w:rFonts w:ascii="Open Sans" w:hAnsi="Open Sans" w:cs="Open Sans"/>
          <w:sz w:val="22"/>
          <w:szCs w:val="22"/>
        </w:rPr>
      </w:pPr>
    </w:p>
    <w:p w14:paraId="2C8F54C0" w14:textId="77777777" w:rsidR="00C34F25" w:rsidRDefault="00C34F25" w:rsidP="00904DEF">
      <w:pPr>
        <w:spacing w:before="240"/>
        <w:jc w:val="both"/>
        <w:rPr>
          <w:rFonts w:ascii="Open Sans" w:hAnsi="Open Sans" w:cs="Open Sans"/>
          <w:sz w:val="22"/>
          <w:szCs w:val="22"/>
        </w:rPr>
      </w:pPr>
    </w:p>
    <w:p w14:paraId="4A11D323" w14:textId="77777777" w:rsidR="00C34F25" w:rsidRDefault="00C34F25" w:rsidP="00904DEF">
      <w:pPr>
        <w:spacing w:before="240"/>
        <w:jc w:val="both"/>
        <w:rPr>
          <w:rFonts w:ascii="Open Sans" w:hAnsi="Open Sans" w:cs="Open Sans"/>
          <w:sz w:val="22"/>
          <w:szCs w:val="22"/>
        </w:rPr>
      </w:pPr>
    </w:p>
    <w:p w14:paraId="5F1B8FF8" w14:textId="77777777" w:rsidR="00C34F25" w:rsidRDefault="00C34F25" w:rsidP="00904DEF">
      <w:pPr>
        <w:spacing w:before="240"/>
        <w:jc w:val="both"/>
        <w:rPr>
          <w:rFonts w:ascii="Open Sans" w:hAnsi="Open Sans" w:cs="Open Sans"/>
          <w:sz w:val="22"/>
          <w:szCs w:val="22"/>
        </w:rPr>
      </w:pPr>
    </w:p>
    <w:p w14:paraId="2082473D" w14:textId="77777777" w:rsidR="00C34F25" w:rsidRDefault="00C34F25" w:rsidP="00904DEF">
      <w:pPr>
        <w:spacing w:before="240"/>
        <w:jc w:val="both"/>
        <w:rPr>
          <w:rFonts w:ascii="Open Sans" w:hAnsi="Open Sans" w:cs="Open Sans"/>
          <w:sz w:val="22"/>
          <w:szCs w:val="22"/>
        </w:rPr>
      </w:pPr>
    </w:p>
    <w:p w14:paraId="2CC14B60" w14:textId="77777777" w:rsidR="00C34F25" w:rsidRDefault="00C34F25" w:rsidP="00904DEF">
      <w:pPr>
        <w:spacing w:before="240"/>
        <w:jc w:val="both"/>
        <w:rPr>
          <w:rFonts w:ascii="Open Sans" w:hAnsi="Open Sans" w:cs="Open Sans"/>
          <w:sz w:val="22"/>
          <w:szCs w:val="22"/>
        </w:rPr>
      </w:pPr>
    </w:p>
    <w:p w14:paraId="46819720" w14:textId="77777777" w:rsidR="00C34F25" w:rsidRDefault="00C34F25" w:rsidP="00904DEF">
      <w:pPr>
        <w:spacing w:before="240"/>
        <w:jc w:val="both"/>
        <w:rPr>
          <w:rFonts w:ascii="Open Sans" w:hAnsi="Open Sans" w:cs="Open Sans"/>
          <w:sz w:val="22"/>
          <w:szCs w:val="22"/>
        </w:rPr>
      </w:pPr>
    </w:p>
    <w:p w14:paraId="108DA098" w14:textId="77777777" w:rsidR="00C34F25" w:rsidRPr="00AF5E3F" w:rsidRDefault="00C34F25" w:rsidP="00C34F25">
      <w:pPr>
        <w:spacing w:before="1" w:after="32"/>
        <w:ind w:left="102"/>
        <w:rPr>
          <w:rFonts w:ascii="Calibri Light"/>
          <w:color w:val="153D63" w:themeColor="text2" w:themeTint="E6"/>
          <w:sz w:val="32"/>
        </w:rPr>
      </w:pPr>
      <w:r w:rsidRPr="00AF5E3F">
        <w:rPr>
          <w:rFonts w:ascii="Calibri Light"/>
          <w:color w:val="153D63" w:themeColor="text2" w:themeTint="E6"/>
          <w:spacing w:val="-2"/>
          <w:sz w:val="32"/>
        </w:rPr>
        <w:t>VERSIONS</w:t>
      </w: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1"/>
        <w:gridCol w:w="4597"/>
        <w:gridCol w:w="1637"/>
      </w:tblGrid>
      <w:tr w:rsidR="00C34F25" w:rsidRPr="00D55490" w14:paraId="3AFB7C02" w14:textId="77777777" w:rsidTr="00AF5E3F">
        <w:trPr>
          <w:trHeight w:val="268"/>
        </w:trPr>
        <w:tc>
          <w:tcPr>
            <w:tcW w:w="2261" w:type="dxa"/>
            <w:shd w:val="clear" w:color="auto" w:fill="C00000"/>
          </w:tcPr>
          <w:p w14:paraId="245698D3" w14:textId="77777777" w:rsidR="00C34F25" w:rsidRPr="00AF5E3F" w:rsidRDefault="00C34F25" w:rsidP="0006390B">
            <w:pPr>
              <w:pStyle w:val="TableParagraph"/>
              <w:ind w:right="3"/>
              <w:rPr>
                <w:b/>
                <w:color w:val="3A3A3A" w:themeColor="background2" w:themeShade="40"/>
              </w:rPr>
            </w:pPr>
            <w:r w:rsidRPr="00AF5E3F">
              <w:rPr>
                <w:b/>
                <w:color w:val="3A3A3A" w:themeColor="background2" w:themeShade="40"/>
                <w:spacing w:val="-2"/>
              </w:rPr>
              <w:t>Date</w:t>
            </w:r>
          </w:p>
        </w:tc>
        <w:tc>
          <w:tcPr>
            <w:tcW w:w="4597" w:type="dxa"/>
            <w:shd w:val="clear" w:color="auto" w:fill="DAE9F7" w:themeFill="text2" w:themeFillTint="1A"/>
          </w:tcPr>
          <w:p w14:paraId="29319392" w14:textId="77777777" w:rsidR="00C34F25" w:rsidRPr="00AF5E3F" w:rsidRDefault="00C34F25" w:rsidP="0006390B">
            <w:pPr>
              <w:pStyle w:val="TableParagraph"/>
              <w:ind w:left="8"/>
              <w:rPr>
                <w:b/>
                <w:color w:val="3A3A3A" w:themeColor="background2" w:themeShade="40"/>
              </w:rPr>
            </w:pPr>
            <w:r w:rsidRPr="00AF5E3F">
              <w:rPr>
                <w:b/>
                <w:color w:val="3A3A3A" w:themeColor="background2" w:themeShade="40"/>
                <w:spacing w:val="-2"/>
              </w:rPr>
              <w:t>Comment</w:t>
            </w:r>
          </w:p>
        </w:tc>
        <w:tc>
          <w:tcPr>
            <w:tcW w:w="1637" w:type="dxa"/>
            <w:shd w:val="clear" w:color="auto" w:fill="C00000"/>
          </w:tcPr>
          <w:p w14:paraId="6DF7155D" w14:textId="77777777" w:rsidR="00C34F25" w:rsidRPr="00AF5E3F" w:rsidRDefault="00C34F25" w:rsidP="0006390B">
            <w:pPr>
              <w:pStyle w:val="TableParagraph"/>
              <w:ind w:left="11" w:right="4"/>
              <w:rPr>
                <w:b/>
                <w:color w:val="3A3A3A" w:themeColor="background2" w:themeShade="40"/>
              </w:rPr>
            </w:pPr>
            <w:r w:rsidRPr="00AF5E3F">
              <w:rPr>
                <w:b/>
                <w:color w:val="3A3A3A" w:themeColor="background2" w:themeShade="40"/>
                <w:spacing w:val="-2"/>
              </w:rPr>
              <w:t>Version</w:t>
            </w:r>
          </w:p>
        </w:tc>
      </w:tr>
      <w:tr w:rsidR="00C34F25" w:rsidRPr="00D55490" w14:paraId="188C3923" w14:textId="77777777" w:rsidTr="0006390B">
        <w:trPr>
          <w:trHeight w:val="268"/>
        </w:trPr>
        <w:tc>
          <w:tcPr>
            <w:tcW w:w="2261" w:type="dxa"/>
          </w:tcPr>
          <w:p w14:paraId="5CD12FDE" w14:textId="0CB6CAC5" w:rsidR="00C34F25" w:rsidRPr="00AF5E3F" w:rsidRDefault="00C34F25" w:rsidP="0006390B">
            <w:pPr>
              <w:pStyle w:val="TableParagraph"/>
              <w:rPr>
                <w:color w:val="3A3A3A" w:themeColor="background2" w:themeShade="40"/>
              </w:rPr>
            </w:pPr>
            <w:r w:rsidRPr="00AF5E3F">
              <w:rPr>
                <w:color w:val="3A3A3A" w:themeColor="background2" w:themeShade="40"/>
                <w:spacing w:val="-2"/>
              </w:rPr>
              <w:t>1</w:t>
            </w:r>
            <w:r w:rsidR="00AF5E3F">
              <w:rPr>
                <w:color w:val="3A3A3A" w:themeColor="background2" w:themeShade="40"/>
                <w:spacing w:val="-2"/>
              </w:rPr>
              <w:t>6</w:t>
            </w:r>
            <w:r w:rsidRPr="00AF5E3F">
              <w:rPr>
                <w:color w:val="3A3A3A" w:themeColor="background2" w:themeShade="40"/>
                <w:spacing w:val="-2"/>
              </w:rPr>
              <w:t>.04.2026</w:t>
            </w:r>
          </w:p>
        </w:tc>
        <w:tc>
          <w:tcPr>
            <w:tcW w:w="4597" w:type="dxa"/>
          </w:tcPr>
          <w:p w14:paraId="60263B00" w14:textId="77777777" w:rsidR="00C34F25" w:rsidRPr="00AF5E3F" w:rsidRDefault="00C34F25" w:rsidP="0006390B">
            <w:pPr>
              <w:pStyle w:val="TableParagraph"/>
              <w:ind w:left="105"/>
              <w:jc w:val="left"/>
              <w:rPr>
                <w:color w:val="3A3A3A" w:themeColor="background2" w:themeShade="40"/>
              </w:rPr>
            </w:pPr>
            <w:r w:rsidRPr="00AF5E3F">
              <w:rPr>
                <w:color w:val="3A3A3A" w:themeColor="background2" w:themeShade="40"/>
              </w:rPr>
              <w:t>Initial approval</w:t>
            </w:r>
          </w:p>
        </w:tc>
        <w:tc>
          <w:tcPr>
            <w:tcW w:w="1637" w:type="dxa"/>
          </w:tcPr>
          <w:p w14:paraId="35B269A9" w14:textId="77777777" w:rsidR="00C34F25" w:rsidRPr="00AF5E3F" w:rsidRDefault="00C34F25" w:rsidP="0006390B">
            <w:pPr>
              <w:pStyle w:val="TableParagraph"/>
              <w:ind w:left="11"/>
              <w:rPr>
                <w:color w:val="3A3A3A" w:themeColor="background2" w:themeShade="40"/>
              </w:rPr>
            </w:pPr>
            <w:r w:rsidRPr="00AF5E3F">
              <w:rPr>
                <w:color w:val="3A3A3A" w:themeColor="background2" w:themeShade="40"/>
                <w:spacing w:val="-10"/>
              </w:rPr>
              <w:t>1</w:t>
            </w:r>
          </w:p>
        </w:tc>
      </w:tr>
    </w:tbl>
    <w:p w14:paraId="5678A4CB" w14:textId="77777777" w:rsidR="00C34F25" w:rsidRDefault="00C34F25" w:rsidP="00C34F25"/>
    <w:p w14:paraId="5DF1E262" w14:textId="77777777" w:rsidR="00C34F25" w:rsidRPr="0001222D" w:rsidRDefault="00C34F25" w:rsidP="00904DEF">
      <w:pPr>
        <w:spacing w:before="240"/>
        <w:jc w:val="both"/>
        <w:rPr>
          <w:rFonts w:ascii="Open Sans" w:hAnsi="Open Sans" w:cs="Open Sans"/>
          <w:sz w:val="22"/>
          <w:szCs w:val="22"/>
        </w:rPr>
      </w:pPr>
    </w:p>
    <w:sectPr w:rsidR="00C34F25" w:rsidRPr="0001222D">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75356" w14:textId="77777777" w:rsidR="006B6F2F" w:rsidRDefault="006B6F2F" w:rsidP="000636CF">
      <w:pPr>
        <w:spacing w:after="0" w:line="240" w:lineRule="auto"/>
      </w:pPr>
      <w:r>
        <w:separator/>
      </w:r>
    </w:p>
  </w:endnote>
  <w:endnote w:type="continuationSeparator" w:id="0">
    <w:p w14:paraId="3E5486CB" w14:textId="77777777" w:rsidR="006B6F2F" w:rsidRDefault="006B6F2F" w:rsidP="000636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egoe UI"/>
    <w:panose1 w:val="00000000000000000000"/>
    <w:charset w:val="00"/>
    <w:family w:val="auto"/>
    <w:pitch w:val="variable"/>
    <w:sig w:usb0="E00002FF" w:usb1="4000201B" w:usb2="00000028"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8AF0E" w14:textId="77777777" w:rsidR="00AF5E3F" w:rsidRDefault="00AF5E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F699D" w14:textId="77777777" w:rsidR="00AF5E3F" w:rsidRDefault="00AF5E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E3D79" w14:textId="77777777" w:rsidR="00AF5E3F" w:rsidRDefault="00AF5E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92E17" w14:textId="77777777" w:rsidR="006B6F2F" w:rsidRDefault="006B6F2F" w:rsidP="000636CF">
      <w:pPr>
        <w:spacing w:after="0" w:line="240" w:lineRule="auto"/>
      </w:pPr>
      <w:r>
        <w:separator/>
      </w:r>
    </w:p>
  </w:footnote>
  <w:footnote w:type="continuationSeparator" w:id="0">
    <w:p w14:paraId="47550BE8" w14:textId="77777777" w:rsidR="006B6F2F" w:rsidRDefault="006B6F2F" w:rsidP="000636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B0E2B" w14:textId="77777777" w:rsidR="00AF5E3F" w:rsidRDefault="00AF5E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5B44D" w14:textId="0936708B" w:rsidR="000636CF" w:rsidRPr="00AF5E3F" w:rsidRDefault="00CE6E41">
    <w:pPr>
      <w:pStyle w:val="Header"/>
      <w:rPr>
        <w:i/>
        <w:iCs/>
      </w:rPr>
    </w:pPr>
    <w:r>
      <w:tab/>
    </w:r>
    <w:r>
      <w:tab/>
    </w:r>
    <w:r w:rsidRPr="00AF5E3F">
      <w:rPr>
        <w:i/>
        <w:iCs/>
        <w:sz w:val="20"/>
        <w:szCs w:val="20"/>
      </w:rPr>
      <w:t>[1</w:t>
    </w:r>
    <w:r w:rsidR="00AF5E3F">
      <w:rPr>
        <w:i/>
        <w:iCs/>
        <w:sz w:val="20"/>
        <w:szCs w:val="20"/>
      </w:rPr>
      <w:t>6</w:t>
    </w:r>
    <w:r w:rsidRPr="00AF5E3F">
      <w:rPr>
        <w:i/>
        <w:iCs/>
        <w:sz w:val="20"/>
        <w:szCs w:val="20"/>
      </w:rPr>
      <w:t>.04.2026</w:t>
    </w:r>
    <w:r w:rsidR="00C34F25" w:rsidRPr="00AF5E3F">
      <w:rPr>
        <w:i/>
        <w:iCs/>
        <w:sz w:val="20"/>
        <w:szCs w:val="20"/>
      </w:rPr>
      <w:t>] #1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91CC4" w14:textId="77777777" w:rsidR="00AF5E3F" w:rsidRDefault="00AF5E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769F2"/>
    <w:multiLevelType w:val="hybridMultilevel"/>
    <w:tmpl w:val="72443B16"/>
    <w:lvl w:ilvl="0" w:tplc="FFFFFFFF">
      <w:start w:val="1"/>
      <w:numFmt w:val="lowerLetter"/>
      <w:lvlText w:val="%1)"/>
      <w:lvlJc w:val="left"/>
      <w:pPr>
        <w:ind w:left="720" w:hanging="360"/>
      </w:pPr>
      <w:rPr>
        <w:b/>
        <w:bCs/>
      </w:rPr>
    </w:lvl>
    <w:lvl w:ilvl="1" w:tplc="FFFFFFFF">
      <w:numFmt w:val="bullet"/>
      <w:lvlText w:val="•"/>
      <w:lvlJc w:val="left"/>
      <w:pPr>
        <w:ind w:left="1512" w:hanging="432"/>
      </w:pPr>
      <w:rPr>
        <w:rFonts w:ascii="Calibri" w:eastAsia="Calibr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131032"/>
    <w:multiLevelType w:val="hybridMultilevel"/>
    <w:tmpl w:val="DF4288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D558EA"/>
    <w:multiLevelType w:val="hybridMultilevel"/>
    <w:tmpl w:val="92660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4453B6"/>
    <w:multiLevelType w:val="hybridMultilevel"/>
    <w:tmpl w:val="8E245D7E"/>
    <w:lvl w:ilvl="0" w:tplc="6456AAD8">
      <w:start w:val="1"/>
      <w:numFmt w:val="decimal"/>
      <w:lvlText w:val="%1."/>
      <w:lvlJc w:val="left"/>
      <w:pPr>
        <w:ind w:left="718" w:hanging="576"/>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 w15:restartNumberingAfterBreak="0">
    <w:nsid w:val="14F93FAD"/>
    <w:multiLevelType w:val="hybridMultilevel"/>
    <w:tmpl w:val="424CE28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511EFA"/>
    <w:multiLevelType w:val="hybridMultilevel"/>
    <w:tmpl w:val="6F081582"/>
    <w:lvl w:ilvl="0" w:tplc="FFFFFFFF">
      <w:start w:val="1"/>
      <w:numFmt w:val="lowerLetter"/>
      <w:lvlText w:val="%1)"/>
      <w:lvlJc w:val="left"/>
      <w:pPr>
        <w:ind w:left="720" w:hanging="360"/>
      </w:pPr>
      <w:rPr>
        <w:b/>
        <w:bCs/>
      </w:rPr>
    </w:lvl>
    <w:lvl w:ilvl="1" w:tplc="FFFFFFFF">
      <w:numFmt w:val="bullet"/>
      <w:lvlText w:val="•"/>
      <w:lvlJc w:val="left"/>
      <w:pPr>
        <w:ind w:left="1512" w:hanging="432"/>
      </w:pPr>
      <w:rPr>
        <w:rFonts w:ascii="Calibri" w:eastAsia="Calibr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C7F41FD"/>
    <w:multiLevelType w:val="hybridMultilevel"/>
    <w:tmpl w:val="FFFFFFFF"/>
    <w:lvl w:ilvl="0" w:tplc="CF94D8A0">
      <w:start w:val="1"/>
      <w:numFmt w:val="decimal"/>
      <w:lvlText w:val="%1."/>
      <w:lvlJc w:val="left"/>
      <w:pPr>
        <w:ind w:left="720" w:hanging="360"/>
      </w:pPr>
    </w:lvl>
    <w:lvl w:ilvl="1" w:tplc="EEACFEA0">
      <w:start w:val="1"/>
      <w:numFmt w:val="lowerLetter"/>
      <w:lvlText w:val="%2."/>
      <w:lvlJc w:val="left"/>
      <w:pPr>
        <w:ind w:left="1440" w:hanging="360"/>
      </w:pPr>
    </w:lvl>
    <w:lvl w:ilvl="2" w:tplc="D910B7C6">
      <w:start w:val="1"/>
      <w:numFmt w:val="lowerRoman"/>
      <w:lvlText w:val="%3."/>
      <w:lvlJc w:val="right"/>
      <w:pPr>
        <w:ind w:left="2160" w:hanging="180"/>
      </w:pPr>
    </w:lvl>
    <w:lvl w:ilvl="3" w:tplc="A6162B8E">
      <w:start w:val="1"/>
      <w:numFmt w:val="decimal"/>
      <w:lvlText w:val="%4."/>
      <w:lvlJc w:val="left"/>
      <w:pPr>
        <w:ind w:left="2880" w:hanging="360"/>
      </w:pPr>
    </w:lvl>
    <w:lvl w:ilvl="4" w:tplc="31A4E668">
      <w:start w:val="1"/>
      <w:numFmt w:val="lowerLetter"/>
      <w:lvlText w:val="%5."/>
      <w:lvlJc w:val="left"/>
      <w:pPr>
        <w:ind w:left="3600" w:hanging="360"/>
      </w:pPr>
    </w:lvl>
    <w:lvl w:ilvl="5" w:tplc="A2C027AA">
      <w:start w:val="1"/>
      <w:numFmt w:val="lowerRoman"/>
      <w:lvlText w:val="%6."/>
      <w:lvlJc w:val="right"/>
      <w:pPr>
        <w:ind w:left="4320" w:hanging="180"/>
      </w:pPr>
    </w:lvl>
    <w:lvl w:ilvl="6" w:tplc="FAA423D8">
      <w:start w:val="1"/>
      <w:numFmt w:val="decimal"/>
      <w:lvlText w:val="%7."/>
      <w:lvlJc w:val="left"/>
      <w:pPr>
        <w:ind w:left="5040" w:hanging="360"/>
      </w:pPr>
    </w:lvl>
    <w:lvl w:ilvl="7" w:tplc="649065A4">
      <w:start w:val="1"/>
      <w:numFmt w:val="lowerLetter"/>
      <w:lvlText w:val="%8."/>
      <w:lvlJc w:val="left"/>
      <w:pPr>
        <w:ind w:left="5760" w:hanging="360"/>
      </w:pPr>
    </w:lvl>
    <w:lvl w:ilvl="8" w:tplc="DE84316A">
      <w:start w:val="1"/>
      <w:numFmt w:val="lowerRoman"/>
      <w:lvlText w:val="%9."/>
      <w:lvlJc w:val="right"/>
      <w:pPr>
        <w:ind w:left="6480" w:hanging="180"/>
      </w:pPr>
    </w:lvl>
  </w:abstractNum>
  <w:abstractNum w:abstractNumId="7" w15:restartNumberingAfterBreak="0">
    <w:nsid w:val="1C9240F6"/>
    <w:multiLevelType w:val="hybridMultilevel"/>
    <w:tmpl w:val="C6A40F8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CD13B9F"/>
    <w:multiLevelType w:val="hybridMultilevel"/>
    <w:tmpl w:val="F6C0AA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3912660"/>
    <w:multiLevelType w:val="hybridMultilevel"/>
    <w:tmpl w:val="6F081582"/>
    <w:lvl w:ilvl="0" w:tplc="FFFFFFFF">
      <w:start w:val="1"/>
      <w:numFmt w:val="lowerLetter"/>
      <w:lvlText w:val="%1)"/>
      <w:lvlJc w:val="left"/>
      <w:pPr>
        <w:ind w:left="720" w:hanging="360"/>
      </w:pPr>
      <w:rPr>
        <w:b/>
        <w:bCs/>
      </w:rPr>
    </w:lvl>
    <w:lvl w:ilvl="1" w:tplc="FFFFFFFF">
      <w:numFmt w:val="bullet"/>
      <w:lvlText w:val="•"/>
      <w:lvlJc w:val="left"/>
      <w:pPr>
        <w:ind w:left="1512" w:hanging="432"/>
      </w:pPr>
      <w:rPr>
        <w:rFonts w:ascii="Calibri" w:eastAsia="Calibr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4476287"/>
    <w:multiLevelType w:val="hybridMultilevel"/>
    <w:tmpl w:val="CFF808A2"/>
    <w:lvl w:ilvl="0" w:tplc="0409001B">
      <w:start w:val="1"/>
      <w:numFmt w:val="lowerRoman"/>
      <w:lvlText w:val="%1."/>
      <w:lvlJc w:val="right"/>
      <w:pPr>
        <w:ind w:left="720" w:hanging="360"/>
      </w:pPr>
      <w:rPr>
        <w:rFont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8E711E"/>
    <w:multiLevelType w:val="hybridMultilevel"/>
    <w:tmpl w:val="6F081582"/>
    <w:lvl w:ilvl="0" w:tplc="FFFFFFFF">
      <w:start w:val="1"/>
      <w:numFmt w:val="lowerLetter"/>
      <w:lvlText w:val="%1)"/>
      <w:lvlJc w:val="left"/>
      <w:pPr>
        <w:ind w:left="720" w:hanging="360"/>
      </w:pPr>
      <w:rPr>
        <w:b/>
        <w:bCs/>
      </w:rPr>
    </w:lvl>
    <w:lvl w:ilvl="1" w:tplc="FFFFFFFF">
      <w:numFmt w:val="bullet"/>
      <w:lvlText w:val="•"/>
      <w:lvlJc w:val="left"/>
      <w:pPr>
        <w:ind w:left="1512" w:hanging="432"/>
      </w:pPr>
      <w:rPr>
        <w:rFonts w:ascii="Calibri" w:eastAsia="Calibr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A4317EC"/>
    <w:multiLevelType w:val="hybridMultilevel"/>
    <w:tmpl w:val="EB1C2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1E01A0"/>
    <w:multiLevelType w:val="hybridMultilevel"/>
    <w:tmpl w:val="6F081582"/>
    <w:lvl w:ilvl="0" w:tplc="FFFFFFFF">
      <w:start w:val="1"/>
      <w:numFmt w:val="lowerLetter"/>
      <w:lvlText w:val="%1)"/>
      <w:lvlJc w:val="left"/>
      <w:pPr>
        <w:ind w:left="720" w:hanging="360"/>
      </w:pPr>
      <w:rPr>
        <w:b/>
        <w:bCs/>
      </w:rPr>
    </w:lvl>
    <w:lvl w:ilvl="1" w:tplc="FFFFFFFF">
      <w:numFmt w:val="bullet"/>
      <w:lvlText w:val="•"/>
      <w:lvlJc w:val="left"/>
      <w:pPr>
        <w:ind w:left="1512" w:hanging="432"/>
      </w:pPr>
      <w:rPr>
        <w:rFonts w:ascii="Calibri" w:eastAsia="Calibr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1E26817"/>
    <w:multiLevelType w:val="hybridMultilevel"/>
    <w:tmpl w:val="A866EE7C"/>
    <w:lvl w:ilvl="0" w:tplc="33B4DE3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D60AF0"/>
    <w:multiLevelType w:val="hybridMultilevel"/>
    <w:tmpl w:val="B5D8A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B42A67"/>
    <w:multiLevelType w:val="hybridMultilevel"/>
    <w:tmpl w:val="6F081582"/>
    <w:lvl w:ilvl="0" w:tplc="FFFFFFFF">
      <w:start w:val="1"/>
      <w:numFmt w:val="lowerLetter"/>
      <w:lvlText w:val="%1)"/>
      <w:lvlJc w:val="left"/>
      <w:pPr>
        <w:ind w:left="720" w:hanging="360"/>
      </w:pPr>
      <w:rPr>
        <w:b/>
        <w:bCs/>
      </w:rPr>
    </w:lvl>
    <w:lvl w:ilvl="1" w:tplc="FFFFFFFF">
      <w:numFmt w:val="bullet"/>
      <w:lvlText w:val="•"/>
      <w:lvlJc w:val="left"/>
      <w:pPr>
        <w:ind w:left="1512" w:hanging="432"/>
      </w:pPr>
      <w:rPr>
        <w:rFonts w:ascii="Calibri" w:eastAsia="Calibr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7C82EA1"/>
    <w:multiLevelType w:val="hybridMultilevel"/>
    <w:tmpl w:val="F5E62C20"/>
    <w:lvl w:ilvl="0" w:tplc="08090001">
      <w:start w:val="1"/>
      <w:numFmt w:val="bullet"/>
      <w:lvlText w:val=""/>
      <w:lvlJc w:val="left"/>
      <w:pPr>
        <w:ind w:left="720" w:hanging="720"/>
      </w:pPr>
      <w:rPr>
        <w:rFonts w:ascii="Symbol" w:hAnsi="Symbol" w:hint="default"/>
      </w:rPr>
    </w:lvl>
    <w:lvl w:ilvl="1" w:tplc="FFFFFFFF">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FFFFFFFF">
      <w:start w:val="1"/>
      <w:numFmt w:val="bullet"/>
      <w:lvlText w:val="•"/>
      <w:lvlJc w:val="left"/>
      <w:pPr>
        <w:ind w:left="2880" w:hanging="720"/>
      </w:pPr>
      <w:rPr>
        <w:rFonts w:ascii="Open Sans" w:eastAsiaTheme="minorHAnsi" w:hAnsi="Open Sans" w:cs="Open Sans" w:hint="default"/>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38DB6C5A"/>
    <w:multiLevelType w:val="hybridMultilevel"/>
    <w:tmpl w:val="6F081582"/>
    <w:lvl w:ilvl="0" w:tplc="FFFFFFFF">
      <w:start w:val="1"/>
      <w:numFmt w:val="lowerLetter"/>
      <w:lvlText w:val="%1)"/>
      <w:lvlJc w:val="left"/>
      <w:pPr>
        <w:ind w:left="720" w:hanging="360"/>
      </w:pPr>
      <w:rPr>
        <w:b/>
        <w:bCs/>
      </w:rPr>
    </w:lvl>
    <w:lvl w:ilvl="1" w:tplc="FFFFFFFF">
      <w:numFmt w:val="bullet"/>
      <w:lvlText w:val="•"/>
      <w:lvlJc w:val="left"/>
      <w:pPr>
        <w:ind w:left="1512" w:hanging="432"/>
      </w:pPr>
      <w:rPr>
        <w:rFonts w:ascii="Calibri" w:eastAsia="Calibr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C0108B2"/>
    <w:multiLevelType w:val="hybridMultilevel"/>
    <w:tmpl w:val="6F081582"/>
    <w:lvl w:ilvl="0" w:tplc="62F02FC2">
      <w:start w:val="1"/>
      <w:numFmt w:val="lowerLetter"/>
      <w:lvlText w:val="%1)"/>
      <w:lvlJc w:val="left"/>
      <w:pPr>
        <w:ind w:left="720" w:hanging="360"/>
      </w:pPr>
      <w:rPr>
        <w:b/>
        <w:bCs/>
      </w:rPr>
    </w:lvl>
    <w:lvl w:ilvl="1" w:tplc="5B8EB386">
      <w:numFmt w:val="bullet"/>
      <w:lvlText w:val="•"/>
      <w:lvlJc w:val="left"/>
      <w:pPr>
        <w:ind w:left="1512" w:hanging="432"/>
      </w:pPr>
      <w:rPr>
        <w:rFonts w:ascii="Calibri" w:eastAsia="Calibr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CD26155"/>
    <w:multiLevelType w:val="hybridMultilevel"/>
    <w:tmpl w:val="44B651B2"/>
    <w:lvl w:ilvl="0" w:tplc="FFFFFFFF">
      <w:start w:val="1"/>
      <w:numFmt w:val="lowerLetter"/>
      <w:lvlText w:val="%1)"/>
      <w:lvlJc w:val="left"/>
      <w:pPr>
        <w:ind w:left="720" w:hanging="720"/>
      </w:pPr>
      <w:rPr>
        <w:rFonts w:hint="default"/>
      </w:rPr>
    </w:lvl>
    <w:lvl w:ilvl="1" w:tplc="FFFFFFFF">
      <w:start w:val="1"/>
      <w:numFmt w:val="lowerRoman"/>
      <w:lvlText w:val="%2."/>
      <w:lvlJc w:val="left"/>
      <w:pPr>
        <w:ind w:left="1080" w:hanging="360"/>
      </w:pPr>
      <w:rPr>
        <w:rFonts w:ascii="Open Sans" w:eastAsia="Calibri" w:hAnsi="Open Sans" w:cs="Open Sans" w:hint="default"/>
        <w:b w:val="0"/>
        <w:bCs w:val="0"/>
        <w:i w:val="0"/>
        <w:iCs w:val="0"/>
        <w:spacing w:val="-1"/>
        <w:w w:val="99"/>
        <w:sz w:val="22"/>
        <w:szCs w:val="22"/>
        <w:lang w:val="es-ES" w:eastAsia="en-US" w:bidi="ar-SA"/>
      </w:rPr>
    </w:lvl>
    <w:lvl w:ilvl="2" w:tplc="0409000F">
      <w:start w:val="1"/>
      <w:numFmt w:val="decimal"/>
      <w:lvlText w:val="%3."/>
      <w:lvlJc w:val="left"/>
      <w:pPr>
        <w:ind w:left="1980" w:hanging="36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5169626B"/>
    <w:multiLevelType w:val="hybridMultilevel"/>
    <w:tmpl w:val="B39C10EC"/>
    <w:lvl w:ilvl="0" w:tplc="A77263DE">
      <w:start w:val="1"/>
      <w:numFmt w:val="decimal"/>
      <w:lvlText w:val="%1."/>
      <w:lvlJc w:val="left"/>
      <w:pPr>
        <w:ind w:left="1080" w:hanging="720"/>
      </w:pPr>
      <w:rPr>
        <w:rFonts w:hint="default"/>
        <w:sz w:val="24"/>
      </w:rPr>
    </w:lvl>
    <w:lvl w:ilvl="1" w:tplc="74C4F5AC">
      <w:start w:val="1"/>
      <w:numFmt w:val="lowerLetter"/>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2B22D4A"/>
    <w:multiLevelType w:val="hybridMultilevel"/>
    <w:tmpl w:val="6F081582"/>
    <w:lvl w:ilvl="0" w:tplc="FFFFFFFF">
      <w:start w:val="1"/>
      <w:numFmt w:val="lowerLetter"/>
      <w:lvlText w:val="%1)"/>
      <w:lvlJc w:val="left"/>
      <w:pPr>
        <w:ind w:left="720" w:hanging="360"/>
      </w:pPr>
      <w:rPr>
        <w:b/>
        <w:bCs/>
      </w:rPr>
    </w:lvl>
    <w:lvl w:ilvl="1" w:tplc="FFFFFFFF">
      <w:numFmt w:val="bullet"/>
      <w:lvlText w:val="•"/>
      <w:lvlJc w:val="left"/>
      <w:pPr>
        <w:ind w:left="1512" w:hanging="432"/>
      </w:pPr>
      <w:rPr>
        <w:rFonts w:ascii="Calibri" w:eastAsia="Calibr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62D51B5"/>
    <w:multiLevelType w:val="hybridMultilevel"/>
    <w:tmpl w:val="C6AC6754"/>
    <w:lvl w:ilvl="0" w:tplc="8890601A">
      <w:start w:val="1"/>
      <w:numFmt w:val="decimal"/>
      <w:lvlText w:val="%1."/>
      <w:lvlJc w:val="left"/>
      <w:pPr>
        <w:ind w:left="1080" w:hanging="720"/>
      </w:pPr>
      <w:rPr>
        <w:rFonts w:hint="default"/>
        <w:b w:val="0"/>
        <w:bCs w:val="0"/>
        <w:sz w:val="24"/>
      </w:rPr>
    </w:lvl>
    <w:lvl w:ilvl="1" w:tplc="FFFFFFFF">
      <w:start w:val="1"/>
      <w:numFmt w:val="lowerLetter"/>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C3518C7"/>
    <w:multiLevelType w:val="hybridMultilevel"/>
    <w:tmpl w:val="5462C5B4"/>
    <w:lvl w:ilvl="0" w:tplc="C9B0DE84">
      <w:start w:val="1"/>
      <w:numFmt w:val="lowerLetter"/>
      <w:lvlText w:val="%1)"/>
      <w:lvlJc w:val="left"/>
      <w:pPr>
        <w:ind w:left="720" w:hanging="720"/>
      </w:pPr>
      <w:rPr>
        <w:rFonts w:hint="default"/>
      </w:rPr>
    </w:lvl>
    <w:lvl w:ilvl="1" w:tplc="BDFAA9D2">
      <w:start w:val="1"/>
      <w:numFmt w:val="lowerRoman"/>
      <w:lvlText w:val="%2."/>
      <w:lvlJc w:val="left"/>
      <w:pPr>
        <w:ind w:left="1080" w:hanging="360"/>
      </w:pPr>
      <w:rPr>
        <w:rFonts w:ascii="Open Sans" w:eastAsia="Calibri" w:hAnsi="Open Sans" w:cs="Open Sans" w:hint="default"/>
        <w:b w:val="0"/>
        <w:bCs w:val="0"/>
        <w:i w:val="0"/>
        <w:iCs w:val="0"/>
        <w:spacing w:val="-1"/>
        <w:w w:val="99"/>
        <w:sz w:val="22"/>
        <w:szCs w:val="22"/>
        <w:lang w:val="es-ES" w:eastAsia="en-US" w:bidi="ar-SA"/>
      </w:rPr>
    </w:lvl>
    <w:lvl w:ilvl="2" w:tplc="0809001B">
      <w:start w:val="1"/>
      <w:numFmt w:val="lowerRoman"/>
      <w:lvlText w:val="%3."/>
      <w:lvlJc w:val="right"/>
      <w:pPr>
        <w:ind w:left="1800" w:hanging="180"/>
      </w:pPr>
    </w:lvl>
    <w:lvl w:ilvl="3" w:tplc="F60CEA7A">
      <w:start w:val="1"/>
      <w:numFmt w:val="bullet"/>
      <w:lvlText w:val="•"/>
      <w:lvlJc w:val="left"/>
      <w:pPr>
        <w:ind w:left="2880" w:hanging="720"/>
      </w:pPr>
      <w:rPr>
        <w:rFonts w:ascii="Open Sans" w:eastAsiaTheme="minorHAnsi" w:hAnsi="Open Sans" w:cs="Open Sans" w:hint="default"/>
      </w:r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62CD2484"/>
    <w:multiLevelType w:val="hybridMultilevel"/>
    <w:tmpl w:val="C8A4B3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6494D5A"/>
    <w:multiLevelType w:val="hybridMultilevel"/>
    <w:tmpl w:val="41408284"/>
    <w:lvl w:ilvl="0" w:tplc="83B8B09C">
      <w:numFmt w:val="bullet"/>
      <w:lvlText w:val=""/>
      <w:lvlJc w:val="left"/>
      <w:pPr>
        <w:ind w:left="720" w:hanging="360"/>
      </w:pPr>
      <w:rPr>
        <w:rFonts w:ascii="Symbol" w:eastAsia="Times New Roman" w:hAnsi="Symbol" w:cstheme="minorHAnsi" w:hint="default"/>
        <w:color w:val="000000"/>
      </w:rPr>
    </w:lvl>
    <w:lvl w:ilvl="1" w:tplc="83B8B09C">
      <w:numFmt w:val="bullet"/>
      <w:lvlText w:val=""/>
      <w:lvlJc w:val="left"/>
      <w:pPr>
        <w:ind w:left="1440" w:hanging="360"/>
      </w:pPr>
      <w:rPr>
        <w:rFonts w:ascii="Symbol" w:eastAsia="Times New Roman" w:hAnsi="Symbol" w:cstheme="minorHAnsi" w:hint="default"/>
        <w:color w:val="00000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CF6664"/>
    <w:multiLevelType w:val="hybridMultilevel"/>
    <w:tmpl w:val="8D349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960192"/>
    <w:multiLevelType w:val="hybridMultilevel"/>
    <w:tmpl w:val="CAEE81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6D132F45"/>
    <w:multiLevelType w:val="hybridMultilevel"/>
    <w:tmpl w:val="86A85B88"/>
    <w:lvl w:ilvl="0" w:tplc="FFFFFFFF">
      <w:start w:val="1"/>
      <w:numFmt w:val="lowerLetter"/>
      <w:lvlText w:val="%1)"/>
      <w:lvlJc w:val="left"/>
      <w:pPr>
        <w:ind w:left="720" w:hanging="720"/>
      </w:pPr>
      <w:rPr>
        <w:rFonts w:hint="default"/>
      </w:rPr>
    </w:lvl>
    <w:lvl w:ilvl="1" w:tplc="08090001">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FFFFFFFF">
      <w:start w:val="1"/>
      <w:numFmt w:val="bullet"/>
      <w:lvlText w:val="•"/>
      <w:lvlJc w:val="left"/>
      <w:pPr>
        <w:ind w:left="2880" w:hanging="720"/>
      </w:pPr>
      <w:rPr>
        <w:rFonts w:ascii="Open Sans" w:eastAsiaTheme="minorHAnsi" w:hAnsi="Open Sans" w:cs="Open Sans" w:hint="default"/>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775D0A7A"/>
    <w:multiLevelType w:val="hybridMultilevel"/>
    <w:tmpl w:val="45F41C8C"/>
    <w:lvl w:ilvl="0" w:tplc="C56E8866">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7BFD5C4C"/>
    <w:multiLevelType w:val="hybridMultilevel"/>
    <w:tmpl w:val="56D0D53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DF279B7"/>
    <w:multiLevelType w:val="hybridMultilevel"/>
    <w:tmpl w:val="CFF808A2"/>
    <w:lvl w:ilvl="0" w:tplc="FFFFFFFF">
      <w:start w:val="1"/>
      <w:numFmt w:val="lowerRoman"/>
      <w:lvlText w:val="%1."/>
      <w:lvlJc w:val="right"/>
      <w:pPr>
        <w:ind w:left="720" w:hanging="360"/>
      </w:pPr>
      <w:rPr>
        <w:rFonts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628050879">
    <w:abstractNumId w:val="3"/>
  </w:num>
  <w:num w:numId="2" w16cid:durableId="1417046859">
    <w:abstractNumId w:val="25"/>
  </w:num>
  <w:num w:numId="3" w16cid:durableId="1972636588">
    <w:abstractNumId w:val="1"/>
  </w:num>
  <w:num w:numId="4" w16cid:durableId="229535883">
    <w:abstractNumId w:val="21"/>
  </w:num>
  <w:num w:numId="5" w16cid:durableId="1193687137">
    <w:abstractNumId w:val="7"/>
  </w:num>
  <w:num w:numId="6" w16cid:durableId="1461342388">
    <w:abstractNumId w:val="30"/>
  </w:num>
  <w:num w:numId="7" w16cid:durableId="531068115">
    <w:abstractNumId w:val="10"/>
  </w:num>
  <w:num w:numId="8" w16cid:durableId="1162502529">
    <w:abstractNumId w:val="26"/>
  </w:num>
  <w:num w:numId="9" w16cid:durableId="2042320166">
    <w:abstractNumId w:val="27"/>
  </w:num>
  <w:num w:numId="10" w16cid:durableId="1636638846">
    <w:abstractNumId w:val="12"/>
  </w:num>
  <w:num w:numId="11" w16cid:durableId="141428473">
    <w:abstractNumId w:val="15"/>
  </w:num>
  <w:num w:numId="12" w16cid:durableId="625351885">
    <w:abstractNumId w:val="32"/>
  </w:num>
  <w:num w:numId="13" w16cid:durableId="1601572155">
    <w:abstractNumId w:val="23"/>
  </w:num>
  <w:num w:numId="14" w16cid:durableId="1284727514">
    <w:abstractNumId w:val="8"/>
  </w:num>
  <w:num w:numId="15" w16cid:durableId="902375141">
    <w:abstractNumId w:val="24"/>
  </w:num>
  <w:num w:numId="16" w16cid:durableId="995838147">
    <w:abstractNumId w:val="20"/>
  </w:num>
  <w:num w:numId="17" w16cid:durableId="489491430">
    <w:abstractNumId w:val="14"/>
  </w:num>
  <w:num w:numId="18" w16cid:durableId="509376300">
    <w:abstractNumId w:val="4"/>
  </w:num>
  <w:num w:numId="19" w16cid:durableId="404306386">
    <w:abstractNumId w:val="31"/>
  </w:num>
  <w:num w:numId="20" w16cid:durableId="795562986">
    <w:abstractNumId w:val="28"/>
  </w:num>
  <w:num w:numId="21" w16cid:durableId="860584159">
    <w:abstractNumId w:val="29"/>
  </w:num>
  <w:num w:numId="22" w16cid:durableId="325088126">
    <w:abstractNumId w:val="2"/>
  </w:num>
  <w:num w:numId="23" w16cid:durableId="120467942">
    <w:abstractNumId w:val="17"/>
  </w:num>
  <w:num w:numId="24" w16cid:durableId="1183473245">
    <w:abstractNumId w:val="19"/>
  </w:num>
  <w:num w:numId="25" w16cid:durableId="618146585">
    <w:abstractNumId w:val="22"/>
  </w:num>
  <w:num w:numId="26" w16cid:durableId="200287001">
    <w:abstractNumId w:val="5"/>
  </w:num>
  <w:num w:numId="27" w16cid:durableId="109787798">
    <w:abstractNumId w:val="13"/>
  </w:num>
  <w:num w:numId="28" w16cid:durableId="1705981661">
    <w:abstractNumId w:val="16"/>
  </w:num>
  <w:num w:numId="29" w16cid:durableId="1912503301">
    <w:abstractNumId w:val="9"/>
  </w:num>
  <w:num w:numId="30" w16cid:durableId="335034495">
    <w:abstractNumId w:val="18"/>
  </w:num>
  <w:num w:numId="31" w16cid:durableId="1030061440">
    <w:abstractNumId w:val="0"/>
  </w:num>
  <w:num w:numId="32" w16cid:durableId="1744645116">
    <w:abstractNumId w:val="11"/>
  </w:num>
  <w:num w:numId="33" w16cid:durableId="17220928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9D3"/>
    <w:rsid w:val="00000844"/>
    <w:rsid w:val="00005C31"/>
    <w:rsid w:val="00005DF5"/>
    <w:rsid w:val="000079C7"/>
    <w:rsid w:val="00011B75"/>
    <w:rsid w:val="00012085"/>
    <w:rsid w:val="0001222D"/>
    <w:rsid w:val="000170B0"/>
    <w:rsid w:val="00023933"/>
    <w:rsid w:val="000371B7"/>
    <w:rsid w:val="000408F5"/>
    <w:rsid w:val="00042E36"/>
    <w:rsid w:val="0004537C"/>
    <w:rsid w:val="0005295D"/>
    <w:rsid w:val="000562A7"/>
    <w:rsid w:val="00060766"/>
    <w:rsid w:val="00060F01"/>
    <w:rsid w:val="000636CF"/>
    <w:rsid w:val="0006390B"/>
    <w:rsid w:val="000643B2"/>
    <w:rsid w:val="00067A52"/>
    <w:rsid w:val="00071496"/>
    <w:rsid w:val="00073383"/>
    <w:rsid w:val="00075806"/>
    <w:rsid w:val="00082DBD"/>
    <w:rsid w:val="00083949"/>
    <w:rsid w:val="000860C1"/>
    <w:rsid w:val="000A276C"/>
    <w:rsid w:val="000A3695"/>
    <w:rsid w:val="000A66D2"/>
    <w:rsid w:val="000B06D9"/>
    <w:rsid w:val="000B0F08"/>
    <w:rsid w:val="000B210A"/>
    <w:rsid w:val="000B673F"/>
    <w:rsid w:val="000B6858"/>
    <w:rsid w:val="000B72A2"/>
    <w:rsid w:val="000C1256"/>
    <w:rsid w:val="000C2207"/>
    <w:rsid w:val="000C4D00"/>
    <w:rsid w:val="000C68B1"/>
    <w:rsid w:val="000D2910"/>
    <w:rsid w:val="000D4969"/>
    <w:rsid w:val="000D7D81"/>
    <w:rsid w:val="000E2EE2"/>
    <w:rsid w:val="000F18D8"/>
    <w:rsid w:val="001027DD"/>
    <w:rsid w:val="00102A1B"/>
    <w:rsid w:val="00111C1E"/>
    <w:rsid w:val="00120FF3"/>
    <w:rsid w:val="00127C80"/>
    <w:rsid w:val="001307A3"/>
    <w:rsid w:val="0013203C"/>
    <w:rsid w:val="001325E3"/>
    <w:rsid w:val="00132CA3"/>
    <w:rsid w:val="00137FAF"/>
    <w:rsid w:val="0014030F"/>
    <w:rsid w:val="00140786"/>
    <w:rsid w:val="00145619"/>
    <w:rsid w:val="00146C4A"/>
    <w:rsid w:val="00154459"/>
    <w:rsid w:val="001558CE"/>
    <w:rsid w:val="001607DE"/>
    <w:rsid w:val="00165FC1"/>
    <w:rsid w:val="001730BC"/>
    <w:rsid w:val="00174629"/>
    <w:rsid w:val="00177C04"/>
    <w:rsid w:val="0018540B"/>
    <w:rsid w:val="0018747A"/>
    <w:rsid w:val="001963D6"/>
    <w:rsid w:val="00196DCC"/>
    <w:rsid w:val="001A429A"/>
    <w:rsid w:val="001A42A2"/>
    <w:rsid w:val="001A47D2"/>
    <w:rsid w:val="001B29DC"/>
    <w:rsid w:val="001B38BB"/>
    <w:rsid w:val="001B5336"/>
    <w:rsid w:val="001C46A3"/>
    <w:rsid w:val="001D6E36"/>
    <w:rsid w:val="001E3074"/>
    <w:rsid w:val="001E3FFD"/>
    <w:rsid w:val="001E43D8"/>
    <w:rsid w:val="001F102F"/>
    <w:rsid w:val="001F2CAA"/>
    <w:rsid w:val="001F3395"/>
    <w:rsid w:val="001F40A0"/>
    <w:rsid w:val="001F4A0D"/>
    <w:rsid w:val="001F4A65"/>
    <w:rsid w:val="001F50B7"/>
    <w:rsid w:val="00202C98"/>
    <w:rsid w:val="00207069"/>
    <w:rsid w:val="00216596"/>
    <w:rsid w:val="0022090B"/>
    <w:rsid w:val="00225AF0"/>
    <w:rsid w:val="00226F3B"/>
    <w:rsid w:val="00227307"/>
    <w:rsid w:val="00236B9F"/>
    <w:rsid w:val="00237022"/>
    <w:rsid w:val="00246F95"/>
    <w:rsid w:val="0025347D"/>
    <w:rsid w:val="0025482A"/>
    <w:rsid w:val="00272480"/>
    <w:rsid w:val="00281C0E"/>
    <w:rsid w:val="00282462"/>
    <w:rsid w:val="00291654"/>
    <w:rsid w:val="00291FB5"/>
    <w:rsid w:val="00293B9A"/>
    <w:rsid w:val="00296C3D"/>
    <w:rsid w:val="002A25AC"/>
    <w:rsid w:val="002A52FF"/>
    <w:rsid w:val="002B4288"/>
    <w:rsid w:val="002B44C8"/>
    <w:rsid w:val="002B5745"/>
    <w:rsid w:val="002C3840"/>
    <w:rsid w:val="002E11FC"/>
    <w:rsid w:val="002E4099"/>
    <w:rsid w:val="002E6698"/>
    <w:rsid w:val="002F24A1"/>
    <w:rsid w:val="002F31E7"/>
    <w:rsid w:val="002F4704"/>
    <w:rsid w:val="00304F04"/>
    <w:rsid w:val="00312E27"/>
    <w:rsid w:val="00316AF6"/>
    <w:rsid w:val="00330A10"/>
    <w:rsid w:val="003335E4"/>
    <w:rsid w:val="0033613A"/>
    <w:rsid w:val="003416A9"/>
    <w:rsid w:val="00345B2B"/>
    <w:rsid w:val="00354AAB"/>
    <w:rsid w:val="00355FF5"/>
    <w:rsid w:val="003656C3"/>
    <w:rsid w:val="00366ADD"/>
    <w:rsid w:val="003670B4"/>
    <w:rsid w:val="003674D0"/>
    <w:rsid w:val="00370CB5"/>
    <w:rsid w:val="00373A4D"/>
    <w:rsid w:val="003842ED"/>
    <w:rsid w:val="0039159F"/>
    <w:rsid w:val="00395ABD"/>
    <w:rsid w:val="003A49B9"/>
    <w:rsid w:val="003B63C2"/>
    <w:rsid w:val="003B6550"/>
    <w:rsid w:val="003B7D4E"/>
    <w:rsid w:val="003C1D49"/>
    <w:rsid w:val="003C303D"/>
    <w:rsid w:val="003C439F"/>
    <w:rsid w:val="003D08F5"/>
    <w:rsid w:val="003D0976"/>
    <w:rsid w:val="003D4319"/>
    <w:rsid w:val="003D62D9"/>
    <w:rsid w:val="003D6899"/>
    <w:rsid w:val="003D7810"/>
    <w:rsid w:val="003E21DE"/>
    <w:rsid w:val="003E5982"/>
    <w:rsid w:val="003E69B5"/>
    <w:rsid w:val="003F2D6F"/>
    <w:rsid w:val="003F374B"/>
    <w:rsid w:val="004002FE"/>
    <w:rsid w:val="0040274E"/>
    <w:rsid w:val="00403E32"/>
    <w:rsid w:val="004055BD"/>
    <w:rsid w:val="0040769C"/>
    <w:rsid w:val="00415E7F"/>
    <w:rsid w:val="004219A5"/>
    <w:rsid w:val="00422C86"/>
    <w:rsid w:val="004233DD"/>
    <w:rsid w:val="004341A5"/>
    <w:rsid w:val="00440FFD"/>
    <w:rsid w:val="00441805"/>
    <w:rsid w:val="004529B4"/>
    <w:rsid w:val="00462C3D"/>
    <w:rsid w:val="00463C9E"/>
    <w:rsid w:val="00471B87"/>
    <w:rsid w:val="00473BFB"/>
    <w:rsid w:val="004773CF"/>
    <w:rsid w:val="00484C48"/>
    <w:rsid w:val="00487038"/>
    <w:rsid w:val="0049092F"/>
    <w:rsid w:val="00492315"/>
    <w:rsid w:val="00493F71"/>
    <w:rsid w:val="0049592A"/>
    <w:rsid w:val="00497549"/>
    <w:rsid w:val="004A63CB"/>
    <w:rsid w:val="004B2A26"/>
    <w:rsid w:val="004B5412"/>
    <w:rsid w:val="004B7EBD"/>
    <w:rsid w:val="004C7DE9"/>
    <w:rsid w:val="004D03B4"/>
    <w:rsid w:val="004D0D08"/>
    <w:rsid w:val="004D1BF4"/>
    <w:rsid w:val="004E32DB"/>
    <w:rsid w:val="004E41E7"/>
    <w:rsid w:val="004E4631"/>
    <w:rsid w:val="004F0510"/>
    <w:rsid w:val="004F1D19"/>
    <w:rsid w:val="00501F04"/>
    <w:rsid w:val="00502B1E"/>
    <w:rsid w:val="00505B4D"/>
    <w:rsid w:val="00512F1C"/>
    <w:rsid w:val="00513038"/>
    <w:rsid w:val="005158D1"/>
    <w:rsid w:val="0051698E"/>
    <w:rsid w:val="00516A98"/>
    <w:rsid w:val="005259BC"/>
    <w:rsid w:val="00526444"/>
    <w:rsid w:val="005308DC"/>
    <w:rsid w:val="0053172A"/>
    <w:rsid w:val="0053196C"/>
    <w:rsid w:val="00532273"/>
    <w:rsid w:val="00540072"/>
    <w:rsid w:val="005422F1"/>
    <w:rsid w:val="005501A7"/>
    <w:rsid w:val="00552B42"/>
    <w:rsid w:val="005607C1"/>
    <w:rsid w:val="005628FB"/>
    <w:rsid w:val="00564F44"/>
    <w:rsid w:val="00565D3E"/>
    <w:rsid w:val="00570D00"/>
    <w:rsid w:val="005774B6"/>
    <w:rsid w:val="0057750D"/>
    <w:rsid w:val="0058083A"/>
    <w:rsid w:val="00592E79"/>
    <w:rsid w:val="005943CC"/>
    <w:rsid w:val="005A3241"/>
    <w:rsid w:val="005A5C36"/>
    <w:rsid w:val="005B3D26"/>
    <w:rsid w:val="005C4FD9"/>
    <w:rsid w:val="005D0FB6"/>
    <w:rsid w:val="005D1660"/>
    <w:rsid w:val="005D7A68"/>
    <w:rsid w:val="005E19E4"/>
    <w:rsid w:val="005E1D10"/>
    <w:rsid w:val="005F6769"/>
    <w:rsid w:val="00610405"/>
    <w:rsid w:val="0061146C"/>
    <w:rsid w:val="00611478"/>
    <w:rsid w:val="00632D13"/>
    <w:rsid w:val="006376C5"/>
    <w:rsid w:val="006401F4"/>
    <w:rsid w:val="006405B8"/>
    <w:rsid w:val="0064505E"/>
    <w:rsid w:val="00656C0F"/>
    <w:rsid w:val="00656D97"/>
    <w:rsid w:val="006577E6"/>
    <w:rsid w:val="00660F64"/>
    <w:rsid w:val="00662E85"/>
    <w:rsid w:val="006633B7"/>
    <w:rsid w:val="006725D3"/>
    <w:rsid w:val="006731D7"/>
    <w:rsid w:val="006750A1"/>
    <w:rsid w:val="006800DA"/>
    <w:rsid w:val="00682099"/>
    <w:rsid w:val="006861DF"/>
    <w:rsid w:val="00687086"/>
    <w:rsid w:val="00687ED9"/>
    <w:rsid w:val="00690FC0"/>
    <w:rsid w:val="0069255A"/>
    <w:rsid w:val="00696AC6"/>
    <w:rsid w:val="006A105C"/>
    <w:rsid w:val="006A449B"/>
    <w:rsid w:val="006A4512"/>
    <w:rsid w:val="006A5161"/>
    <w:rsid w:val="006B6F2F"/>
    <w:rsid w:val="006D636A"/>
    <w:rsid w:val="006D7344"/>
    <w:rsid w:val="006E30C3"/>
    <w:rsid w:val="006E37E4"/>
    <w:rsid w:val="006F2721"/>
    <w:rsid w:val="006F34E2"/>
    <w:rsid w:val="00700E13"/>
    <w:rsid w:val="0070120E"/>
    <w:rsid w:val="007018A5"/>
    <w:rsid w:val="00702837"/>
    <w:rsid w:val="007042A5"/>
    <w:rsid w:val="007061C6"/>
    <w:rsid w:val="0070664F"/>
    <w:rsid w:val="007172C7"/>
    <w:rsid w:val="00723E26"/>
    <w:rsid w:val="0072476E"/>
    <w:rsid w:val="00730BD9"/>
    <w:rsid w:val="00733213"/>
    <w:rsid w:val="00735140"/>
    <w:rsid w:val="007363BD"/>
    <w:rsid w:val="00736E7B"/>
    <w:rsid w:val="007414BA"/>
    <w:rsid w:val="00746A5B"/>
    <w:rsid w:val="007604B9"/>
    <w:rsid w:val="00761993"/>
    <w:rsid w:val="00761F38"/>
    <w:rsid w:val="00772E9B"/>
    <w:rsid w:val="007740D9"/>
    <w:rsid w:val="007742BC"/>
    <w:rsid w:val="007746DB"/>
    <w:rsid w:val="00782740"/>
    <w:rsid w:val="00786579"/>
    <w:rsid w:val="00786D68"/>
    <w:rsid w:val="0079548A"/>
    <w:rsid w:val="007A0D35"/>
    <w:rsid w:val="007A56B3"/>
    <w:rsid w:val="007A5DD9"/>
    <w:rsid w:val="007A7F8D"/>
    <w:rsid w:val="007B39E2"/>
    <w:rsid w:val="007C2637"/>
    <w:rsid w:val="007C374E"/>
    <w:rsid w:val="007C4000"/>
    <w:rsid w:val="007C4227"/>
    <w:rsid w:val="007C4365"/>
    <w:rsid w:val="007D39CA"/>
    <w:rsid w:val="007F04FF"/>
    <w:rsid w:val="007F0CF3"/>
    <w:rsid w:val="007F7E9A"/>
    <w:rsid w:val="0080186A"/>
    <w:rsid w:val="00805045"/>
    <w:rsid w:val="00805D6E"/>
    <w:rsid w:val="008065D0"/>
    <w:rsid w:val="0081159E"/>
    <w:rsid w:val="0081189C"/>
    <w:rsid w:val="0081270A"/>
    <w:rsid w:val="00813F07"/>
    <w:rsid w:val="0081652E"/>
    <w:rsid w:val="00831281"/>
    <w:rsid w:val="008328B5"/>
    <w:rsid w:val="008333FB"/>
    <w:rsid w:val="008419F0"/>
    <w:rsid w:val="0084395D"/>
    <w:rsid w:val="008448E7"/>
    <w:rsid w:val="008450D9"/>
    <w:rsid w:val="00846399"/>
    <w:rsid w:val="00853641"/>
    <w:rsid w:val="00855B3E"/>
    <w:rsid w:val="00865350"/>
    <w:rsid w:val="00874343"/>
    <w:rsid w:val="00876AC4"/>
    <w:rsid w:val="00880731"/>
    <w:rsid w:val="00882219"/>
    <w:rsid w:val="00884D49"/>
    <w:rsid w:val="00887423"/>
    <w:rsid w:val="00890E25"/>
    <w:rsid w:val="00892DDB"/>
    <w:rsid w:val="008943CA"/>
    <w:rsid w:val="008976D1"/>
    <w:rsid w:val="008A1379"/>
    <w:rsid w:val="008A239B"/>
    <w:rsid w:val="008A3437"/>
    <w:rsid w:val="008B1D5E"/>
    <w:rsid w:val="008B3C83"/>
    <w:rsid w:val="008B4558"/>
    <w:rsid w:val="008B52EF"/>
    <w:rsid w:val="008C14FD"/>
    <w:rsid w:val="008C79E6"/>
    <w:rsid w:val="008D2817"/>
    <w:rsid w:val="008D412C"/>
    <w:rsid w:val="008D5F2C"/>
    <w:rsid w:val="008E3D80"/>
    <w:rsid w:val="008E4FF0"/>
    <w:rsid w:val="008E65DC"/>
    <w:rsid w:val="008E6952"/>
    <w:rsid w:val="008E709B"/>
    <w:rsid w:val="008F1355"/>
    <w:rsid w:val="008F248C"/>
    <w:rsid w:val="008F3EDC"/>
    <w:rsid w:val="00900C2A"/>
    <w:rsid w:val="00903A4A"/>
    <w:rsid w:val="00904DEF"/>
    <w:rsid w:val="0090740B"/>
    <w:rsid w:val="0092041A"/>
    <w:rsid w:val="009207AF"/>
    <w:rsid w:val="009225CE"/>
    <w:rsid w:val="00923B09"/>
    <w:rsid w:val="009316B3"/>
    <w:rsid w:val="00932BD9"/>
    <w:rsid w:val="009411AF"/>
    <w:rsid w:val="00950D67"/>
    <w:rsid w:val="00950F9E"/>
    <w:rsid w:val="00955FAF"/>
    <w:rsid w:val="00964BD8"/>
    <w:rsid w:val="009654BF"/>
    <w:rsid w:val="00967BAE"/>
    <w:rsid w:val="0097087C"/>
    <w:rsid w:val="00974FE2"/>
    <w:rsid w:val="00981B97"/>
    <w:rsid w:val="0098523A"/>
    <w:rsid w:val="00990B42"/>
    <w:rsid w:val="00994F21"/>
    <w:rsid w:val="009A140D"/>
    <w:rsid w:val="009A54DA"/>
    <w:rsid w:val="009C2CBB"/>
    <w:rsid w:val="009E1A0A"/>
    <w:rsid w:val="009E372B"/>
    <w:rsid w:val="009E7C7F"/>
    <w:rsid w:val="009F2ACF"/>
    <w:rsid w:val="009F6039"/>
    <w:rsid w:val="009F7C50"/>
    <w:rsid w:val="00A01A64"/>
    <w:rsid w:val="00A02212"/>
    <w:rsid w:val="00A10277"/>
    <w:rsid w:val="00A12B83"/>
    <w:rsid w:val="00A16B1D"/>
    <w:rsid w:val="00A20CB7"/>
    <w:rsid w:val="00A34B3E"/>
    <w:rsid w:val="00A35A45"/>
    <w:rsid w:val="00A4103D"/>
    <w:rsid w:val="00A44B21"/>
    <w:rsid w:val="00A627A3"/>
    <w:rsid w:val="00A62E90"/>
    <w:rsid w:val="00A72D9C"/>
    <w:rsid w:val="00A732E8"/>
    <w:rsid w:val="00A74B08"/>
    <w:rsid w:val="00A85C4B"/>
    <w:rsid w:val="00A927D4"/>
    <w:rsid w:val="00AA14A7"/>
    <w:rsid w:val="00AA2093"/>
    <w:rsid w:val="00AA254E"/>
    <w:rsid w:val="00AA32D2"/>
    <w:rsid w:val="00AA39CA"/>
    <w:rsid w:val="00AA633F"/>
    <w:rsid w:val="00AA6C37"/>
    <w:rsid w:val="00AB1208"/>
    <w:rsid w:val="00AB1DD2"/>
    <w:rsid w:val="00AC0B03"/>
    <w:rsid w:val="00AD0C87"/>
    <w:rsid w:val="00AD2463"/>
    <w:rsid w:val="00AD3242"/>
    <w:rsid w:val="00AD6205"/>
    <w:rsid w:val="00AE0AD9"/>
    <w:rsid w:val="00AE13DB"/>
    <w:rsid w:val="00AE2A5D"/>
    <w:rsid w:val="00AF5E3F"/>
    <w:rsid w:val="00B01295"/>
    <w:rsid w:val="00B02098"/>
    <w:rsid w:val="00B15FE7"/>
    <w:rsid w:val="00B16408"/>
    <w:rsid w:val="00B24C7C"/>
    <w:rsid w:val="00B26A2D"/>
    <w:rsid w:val="00B277D9"/>
    <w:rsid w:val="00B30C83"/>
    <w:rsid w:val="00B32077"/>
    <w:rsid w:val="00B34F8D"/>
    <w:rsid w:val="00B45182"/>
    <w:rsid w:val="00B53771"/>
    <w:rsid w:val="00B56D78"/>
    <w:rsid w:val="00B575D4"/>
    <w:rsid w:val="00B60211"/>
    <w:rsid w:val="00B67590"/>
    <w:rsid w:val="00B71247"/>
    <w:rsid w:val="00B71EDE"/>
    <w:rsid w:val="00B756F1"/>
    <w:rsid w:val="00B762C4"/>
    <w:rsid w:val="00B80087"/>
    <w:rsid w:val="00B9576A"/>
    <w:rsid w:val="00B95B0B"/>
    <w:rsid w:val="00BA0BC1"/>
    <w:rsid w:val="00BA708A"/>
    <w:rsid w:val="00BB123C"/>
    <w:rsid w:val="00BB2AFE"/>
    <w:rsid w:val="00BB2C1C"/>
    <w:rsid w:val="00BB5096"/>
    <w:rsid w:val="00BC1F3F"/>
    <w:rsid w:val="00BE0234"/>
    <w:rsid w:val="00BE537A"/>
    <w:rsid w:val="00BF050E"/>
    <w:rsid w:val="00BF2B8B"/>
    <w:rsid w:val="00BF5AE0"/>
    <w:rsid w:val="00C01496"/>
    <w:rsid w:val="00C01731"/>
    <w:rsid w:val="00C15987"/>
    <w:rsid w:val="00C2457F"/>
    <w:rsid w:val="00C27827"/>
    <w:rsid w:val="00C27AAE"/>
    <w:rsid w:val="00C305F4"/>
    <w:rsid w:val="00C32F9B"/>
    <w:rsid w:val="00C345E3"/>
    <w:rsid w:val="00C34F25"/>
    <w:rsid w:val="00C429C4"/>
    <w:rsid w:val="00C55030"/>
    <w:rsid w:val="00C642CF"/>
    <w:rsid w:val="00C72F7F"/>
    <w:rsid w:val="00C7452E"/>
    <w:rsid w:val="00C76076"/>
    <w:rsid w:val="00C813A5"/>
    <w:rsid w:val="00C829F7"/>
    <w:rsid w:val="00C84DC2"/>
    <w:rsid w:val="00C87200"/>
    <w:rsid w:val="00C9760D"/>
    <w:rsid w:val="00CA0C49"/>
    <w:rsid w:val="00CA1E85"/>
    <w:rsid w:val="00CA285E"/>
    <w:rsid w:val="00CA51ED"/>
    <w:rsid w:val="00CA62D6"/>
    <w:rsid w:val="00CA6A49"/>
    <w:rsid w:val="00CB77B2"/>
    <w:rsid w:val="00CC182F"/>
    <w:rsid w:val="00CD35BC"/>
    <w:rsid w:val="00CD3D10"/>
    <w:rsid w:val="00CD4492"/>
    <w:rsid w:val="00CD540F"/>
    <w:rsid w:val="00CD54CC"/>
    <w:rsid w:val="00CE2CB6"/>
    <w:rsid w:val="00CE3180"/>
    <w:rsid w:val="00CE47A7"/>
    <w:rsid w:val="00CE6E41"/>
    <w:rsid w:val="00CF2207"/>
    <w:rsid w:val="00CF2BF2"/>
    <w:rsid w:val="00CF38E0"/>
    <w:rsid w:val="00D11FBA"/>
    <w:rsid w:val="00D260B3"/>
    <w:rsid w:val="00D27186"/>
    <w:rsid w:val="00D2723D"/>
    <w:rsid w:val="00D31B56"/>
    <w:rsid w:val="00D32236"/>
    <w:rsid w:val="00D342E0"/>
    <w:rsid w:val="00D34304"/>
    <w:rsid w:val="00D414D9"/>
    <w:rsid w:val="00D43424"/>
    <w:rsid w:val="00D439BF"/>
    <w:rsid w:val="00D43C5D"/>
    <w:rsid w:val="00D45452"/>
    <w:rsid w:val="00D47D61"/>
    <w:rsid w:val="00D514C8"/>
    <w:rsid w:val="00D51662"/>
    <w:rsid w:val="00D52C00"/>
    <w:rsid w:val="00D70B2A"/>
    <w:rsid w:val="00D7516C"/>
    <w:rsid w:val="00D75A71"/>
    <w:rsid w:val="00D849CF"/>
    <w:rsid w:val="00D8590B"/>
    <w:rsid w:val="00D86B46"/>
    <w:rsid w:val="00D94447"/>
    <w:rsid w:val="00D95762"/>
    <w:rsid w:val="00D96D7F"/>
    <w:rsid w:val="00DA131A"/>
    <w:rsid w:val="00DA67BB"/>
    <w:rsid w:val="00DB1A36"/>
    <w:rsid w:val="00DB203F"/>
    <w:rsid w:val="00DB3F65"/>
    <w:rsid w:val="00DB5DC6"/>
    <w:rsid w:val="00DB7D31"/>
    <w:rsid w:val="00DC0A68"/>
    <w:rsid w:val="00DC19A5"/>
    <w:rsid w:val="00DC6BEC"/>
    <w:rsid w:val="00DD097F"/>
    <w:rsid w:val="00DD3C4C"/>
    <w:rsid w:val="00DE2F47"/>
    <w:rsid w:val="00DE3471"/>
    <w:rsid w:val="00DE7A27"/>
    <w:rsid w:val="00DF70DE"/>
    <w:rsid w:val="00E01AC9"/>
    <w:rsid w:val="00E05F34"/>
    <w:rsid w:val="00E06605"/>
    <w:rsid w:val="00E12CCB"/>
    <w:rsid w:val="00E1695D"/>
    <w:rsid w:val="00E20795"/>
    <w:rsid w:val="00E242E0"/>
    <w:rsid w:val="00E318A3"/>
    <w:rsid w:val="00E35B4F"/>
    <w:rsid w:val="00E35C44"/>
    <w:rsid w:val="00E42B31"/>
    <w:rsid w:val="00E42FA7"/>
    <w:rsid w:val="00E52749"/>
    <w:rsid w:val="00E611DE"/>
    <w:rsid w:val="00E6467E"/>
    <w:rsid w:val="00E659F3"/>
    <w:rsid w:val="00E65DE9"/>
    <w:rsid w:val="00E70882"/>
    <w:rsid w:val="00E709D3"/>
    <w:rsid w:val="00E75C78"/>
    <w:rsid w:val="00E76127"/>
    <w:rsid w:val="00E866B9"/>
    <w:rsid w:val="00E92D92"/>
    <w:rsid w:val="00E9335E"/>
    <w:rsid w:val="00E94ACA"/>
    <w:rsid w:val="00E97D7B"/>
    <w:rsid w:val="00EA2E06"/>
    <w:rsid w:val="00EA53E4"/>
    <w:rsid w:val="00EA6F12"/>
    <w:rsid w:val="00EB12D1"/>
    <w:rsid w:val="00EB2C5F"/>
    <w:rsid w:val="00EB4A23"/>
    <w:rsid w:val="00EC0407"/>
    <w:rsid w:val="00EC56F4"/>
    <w:rsid w:val="00ED2FD7"/>
    <w:rsid w:val="00ED47D2"/>
    <w:rsid w:val="00ED580D"/>
    <w:rsid w:val="00EE1D52"/>
    <w:rsid w:val="00EE2A60"/>
    <w:rsid w:val="00EE664C"/>
    <w:rsid w:val="00EE7026"/>
    <w:rsid w:val="00EE72FF"/>
    <w:rsid w:val="00F02FA6"/>
    <w:rsid w:val="00F037C1"/>
    <w:rsid w:val="00F0382C"/>
    <w:rsid w:val="00F055AC"/>
    <w:rsid w:val="00F15850"/>
    <w:rsid w:val="00F15AE9"/>
    <w:rsid w:val="00F27AFF"/>
    <w:rsid w:val="00F31044"/>
    <w:rsid w:val="00F33EA7"/>
    <w:rsid w:val="00F37515"/>
    <w:rsid w:val="00F3771D"/>
    <w:rsid w:val="00F450A0"/>
    <w:rsid w:val="00F50578"/>
    <w:rsid w:val="00F54EA7"/>
    <w:rsid w:val="00F554F5"/>
    <w:rsid w:val="00F557AF"/>
    <w:rsid w:val="00F567E1"/>
    <w:rsid w:val="00F617F1"/>
    <w:rsid w:val="00F63A34"/>
    <w:rsid w:val="00F6611E"/>
    <w:rsid w:val="00F72C99"/>
    <w:rsid w:val="00F756FA"/>
    <w:rsid w:val="00F75BB3"/>
    <w:rsid w:val="00F77839"/>
    <w:rsid w:val="00F81EBC"/>
    <w:rsid w:val="00F81F31"/>
    <w:rsid w:val="00F840E3"/>
    <w:rsid w:val="00F85536"/>
    <w:rsid w:val="00F907A4"/>
    <w:rsid w:val="00F91321"/>
    <w:rsid w:val="00F93E75"/>
    <w:rsid w:val="00F9459F"/>
    <w:rsid w:val="00F94E2B"/>
    <w:rsid w:val="00F95E5F"/>
    <w:rsid w:val="00FA0DB8"/>
    <w:rsid w:val="00FA3766"/>
    <w:rsid w:val="00FA3B20"/>
    <w:rsid w:val="00FA3DAC"/>
    <w:rsid w:val="00FA7CB8"/>
    <w:rsid w:val="00FB1D6E"/>
    <w:rsid w:val="00FB56C8"/>
    <w:rsid w:val="00FC35E1"/>
    <w:rsid w:val="00FC3844"/>
    <w:rsid w:val="00FD25EA"/>
    <w:rsid w:val="00FD4E92"/>
    <w:rsid w:val="00FD55DC"/>
    <w:rsid w:val="00FE03E1"/>
    <w:rsid w:val="00FE211F"/>
    <w:rsid w:val="00FE2190"/>
    <w:rsid w:val="00FE2F0D"/>
    <w:rsid w:val="00FF757E"/>
    <w:rsid w:val="2C320F66"/>
    <w:rsid w:val="56F9F64D"/>
    <w:rsid w:val="604BF00D"/>
    <w:rsid w:val="6FAFBB3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CCFE1F"/>
  <w15:chartTrackingRefBased/>
  <w15:docId w15:val="{55311088-F2CE-4C78-92DA-373C08A14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09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709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09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09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09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09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09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09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09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09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709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09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09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09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09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09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09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09D3"/>
    <w:rPr>
      <w:rFonts w:eastAsiaTheme="majorEastAsia" w:cstheme="majorBidi"/>
      <w:color w:val="272727" w:themeColor="text1" w:themeTint="D8"/>
    </w:rPr>
  </w:style>
  <w:style w:type="paragraph" w:styleId="Title">
    <w:name w:val="Title"/>
    <w:basedOn w:val="Normal"/>
    <w:next w:val="Normal"/>
    <w:link w:val="TitleChar"/>
    <w:uiPriority w:val="10"/>
    <w:qFormat/>
    <w:rsid w:val="00E709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09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09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09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09D3"/>
    <w:pPr>
      <w:spacing w:before="160"/>
      <w:jc w:val="center"/>
    </w:pPr>
    <w:rPr>
      <w:i/>
      <w:iCs/>
      <w:color w:val="404040" w:themeColor="text1" w:themeTint="BF"/>
    </w:rPr>
  </w:style>
  <w:style w:type="character" w:customStyle="1" w:styleId="QuoteChar">
    <w:name w:val="Quote Char"/>
    <w:basedOn w:val="DefaultParagraphFont"/>
    <w:link w:val="Quote"/>
    <w:uiPriority w:val="29"/>
    <w:rsid w:val="00E709D3"/>
    <w:rPr>
      <w:i/>
      <w:iCs/>
      <w:color w:val="404040" w:themeColor="text1" w:themeTint="BF"/>
    </w:rPr>
  </w:style>
  <w:style w:type="paragraph" w:styleId="ListParagraph">
    <w:name w:val="List Paragraph"/>
    <w:aliases w:val="Paragraphe EI,Paragraphe de liste1,EC,Normal bullet 2,Bullet list,List Paragraph1,Numbered List,1st level - Bullet List Paragraph,Lettre d'introduction,Paragrafo elenco,Medium Grid 1 - Accent 21,List Paragraph11,Paragraphe de liste,Dot pt"/>
    <w:basedOn w:val="Normal"/>
    <w:link w:val="ListParagraphChar"/>
    <w:uiPriority w:val="34"/>
    <w:qFormat/>
    <w:rsid w:val="00E709D3"/>
    <w:pPr>
      <w:ind w:left="720"/>
      <w:contextualSpacing/>
    </w:pPr>
  </w:style>
  <w:style w:type="character" w:styleId="IntenseEmphasis">
    <w:name w:val="Intense Emphasis"/>
    <w:basedOn w:val="DefaultParagraphFont"/>
    <w:uiPriority w:val="21"/>
    <w:qFormat/>
    <w:rsid w:val="00E709D3"/>
    <w:rPr>
      <w:i/>
      <w:iCs/>
      <w:color w:val="0F4761" w:themeColor="accent1" w:themeShade="BF"/>
    </w:rPr>
  </w:style>
  <w:style w:type="paragraph" w:styleId="IntenseQuote">
    <w:name w:val="Intense Quote"/>
    <w:basedOn w:val="Normal"/>
    <w:next w:val="Normal"/>
    <w:link w:val="IntenseQuoteChar"/>
    <w:uiPriority w:val="30"/>
    <w:qFormat/>
    <w:rsid w:val="00E709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09D3"/>
    <w:rPr>
      <w:i/>
      <w:iCs/>
      <w:color w:val="0F4761" w:themeColor="accent1" w:themeShade="BF"/>
    </w:rPr>
  </w:style>
  <w:style w:type="character" w:styleId="IntenseReference">
    <w:name w:val="Intense Reference"/>
    <w:basedOn w:val="DefaultParagraphFont"/>
    <w:uiPriority w:val="32"/>
    <w:qFormat/>
    <w:rsid w:val="00E709D3"/>
    <w:rPr>
      <w:b/>
      <w:bCs/>
      <w:smallCaps/>
      <w:color w:val="0F4761" w:themeColor="accent1" w:themeShade="BF"/>
      <w:spacing w:val="5"/>
    </w:rPr>
  </w:style>
  <w:style w:type="character" w:customStyle="1" w:styleId="ListParagraphChar">
    <w:name w:val="List Paragraph Char"/>
    <w:aliases w:val="Paragraphe EI Char,Paragraphe de liste1 Char,EC Char,Normal bullet 2 Char,Bullet list Char,List Paragraph1 Char,Numbered List Char,1st level - Bullet List Paragraph Char,Lettre d'introduction Char,Paragrafo elenco Char,Dot pt Char"/>
    <w:basedOn w:val="DefaultParagraphFont"/>
    <w:link w:val="ListParagraph"/>
    <w:uiPriority w:val="34"/>
    <w:qFormat/>
    <w:locked/>
    <w:rsid w:val="0049092F"/>
  </w:style>
  <w:style w:type="character" w:customStyle="1" w:styleId="normaltextrun">
    <w:name w:val="normaltextrun"/>
    <w:basedOn w:val="DefaultParagraphFont"/>
    <w:rsid w:val="00981B97"/>
  </w:style>
  <w:style w:type="character" w:styleId="CommentReference">
    <w:name w:val="annotation reference"/>
    <w:basedOn w:val="DefaultParagraphFont"/>
    <w:uiPriority w:val="99"/>
    <w:unhideWhenUsed/>
    <w:rsid w:val="005D1660"/>
    <w:rPr>
      <w:sz w:val="16"/>
      <w:szCs w:val="16"/>
    </w:rPr>
  </w:style>
  <w:style w:type="paragraph" w:styleId="CommentText">
    <w:name w:val="annotation text"/>
    <w:basedOn w:val="Normal"/>
    <w:link w:val="CommentTextChar"/>
    <w:uiPriority w:val="99"/>
    <w:unhideWhenUsed/>
    <w:rsid w:val="005D1660"/>
    <w:pPr>
      <w:spacing w:after="240" w:line="240" w:lineRule="auto"/>
    </w:pPr>
    <w:rPr>
      <w:rFonts w:ascii="Arial" w:eastAsia="Times New Roman" w:hAnsi="Arial" w:cs="Times New Roman"/>
      <w:kern w:val="0"/>
      <w:sz w:val="20"/>
      <w:szCs w:val="20"/>
      <w:lang w:eastAsia="en-GB"/>
      <w14:ligatures w14:val="none"/>
    </w:rPr>
  </w:style>
  <w:style w:type="character" w:customStyle="1" w:styleId="CommentTextChar">
    <w:name w:val="Comment Text Char"/>
    <w:basedOn w:val="DefaultParagraphFont"/>
    <w:link w:val="CommentText"/>
    <w:uiPriority w:val="99"/>
    <w:rsid w:val="005D1660"/>
    <w:rPr>
      <w:rFonts w:ascii="Arial" w:eastAsia="Times New Roman" w:hAnsi="Arial" w:cs="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702837"/>
    <w:pPr>
      <w:spacing w:after="160"/>
    </w:pPr>
    <w:rPr>
      <w:rFonts w:asciiTheme="minorHAnsi" w:eastAsiaTheme="minorHAnsi" w:hAnsiTheme="minorHAnsi" w:cstheme="minorBidi"/>
      <w:b/>
      <w:bCs/>
      <w:kern w:val="2"/>
      <w:lang w:eastAsia="en-US"/>
      <w14:ligatures w14:val="standardContextual"/>
    </w:rPr>
  </w:style>
  <w:style w:type="character" w:customStyle="1" w:styleId="CommentSubjectChar">
    <w:name w:val="Comment Subject Char"/>
    <w:basedOn w:val="CommentTextChar"/>
    <w:link w:val="CommentSubject"/>
    <w:uiPriority w:val="99"/>
    <w:semiHidden/>
    <w:rsid w:val="00702837"/>
    <w:rPr>
      <w:rFonts w:ascii="Arial" w:eastAsia="Times New Roman" w:hAnsi="Arial" w:cs="Times New Roman"/>
      <w:b/>
      <w:bCs/>
      <w:kern w:val="0"/>
      <w:sz w:val="20"/>
      <w:szCs w:val="20"/>
      <w:lang w:eastAsia="en-GB"/>
      <w14:ligatures w14:val="none"/>
    </w:rPr>
  </w:style>
  <w:style w:type="paragraph" w:styleId="Revision">
    <w:name w:val="Revision"/>
    <w:hidden/>
    <w:uiPriority w:val="99"/>
    <w:semiHidden/>
    <w:rsid w:val="00570D00"/>
    <w:pPr>
      <w:spacing w:after="0" w:line="240" w:lineRule="auto"/>
    </w:pPr>
  </w:style>
  <w:style w:type="table" w:styleId="TableGrid">
    <w:name w:val="Table Grid"/>
    <w:basedOn w:val="TableNormal"/>
    <w:uiPriority w:val="39"/>
    <w:rsid w:val="00656D9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636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36CF"/>
  </w:style>
  <w:style w:type="paragraph" w:styleId="Footer">
    <w:name w:val="footer"/>
    <w:basedOn w:val="Normal"/>
    <w:link w:val="FooterChar"/>
    <w:uiPriority w:val="99"/>
    <w:unhideWhenUsed/>
    <w:rsid w:val="000636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36CF"/>
  </w:style>
  <w:style w:type="paragraph" w:customStyle="1" w:styleId="TableParagraph">
    <w:name w:val="Table Paragraph"/>
    <w:basedOn w:val="Normal"/>
    <w:uiPriority w:val="1"/>
    <w:qFormat/>
    <w:rsid w:val="00C34F25"/>
    <w:pPr>
      <w:widowControl w:val="0"/>
      <w:autoSpaceDE w:val="0"/>
      <w:autoSpaceDN w:val="0"/>
      <w:spacing w:after="0" w:line="248" w:lineRule="exact"/>
      <w:ind w:left="10"/>
      <w:jc w:val="center"/>
    </w:pPr>
    <w:rPr>
      <w:rFonts w:ascii="Calibri" w:eastAsia="Calibri" w:hAnsi="Calibri" w:cs="Calibri"/>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FDD83B06DC19F440A4EC39D4EB972235" ma:contentTypeVersion="17" ma:contentTypeDescription="Create a new document." ma:contentTypeScope="" ma:versionID="bcbbfe4e572c97b28f7afd505086a41e">
  <xsd:schema xmlns:xsd="http://www.w3.org/2001/XMLSchema" xmlns:xs="http://www.w3.org/2001/XMLSchema" xmlns:p="http://schemas.microsoft.com/office/2006/metadata/properties" xmlns:ns2="92fe4474-f217-4bfc-8f48-26b887bbe529" xmlns:ns3="78c66613-bc99-43e0-a9e8-d1f7eaee9ec1" targetNamespace="http://schemas.microsoft.com/office/2006/metadata/properties" ma:root="true" ma:fieldsID="50792b12642f9b70539b52b27a634251" ns2:_="" ns3:_="">
    <xsd:import namespace="92fe4474-f217-4bfc-8f48-26b887bbe529"/>
    <xsd:import namespace="78c66613-bc99-43e0-a9e8-d1f7eaee9ec1"/>
    <xsd:element name="properties">
      <xsd:complexType>
        <xsd:sequence>
          <xsd:element name="documentManagement">
            <xsd:complexType>
              <xsd:all>
                <xsd:element ref="ns2:Datetime" minOccurs="0"/>
                <xsd:element ref="ns2:Link"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BillingMetadata" minOccurs="0"/>
                <xsd:element ref="ns2:MediaServiceOCR" minOccurs="0"/>
                <xsd:element ref="ns2:MediaServiceLocation"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fe4474-f217-4bfc-8f48-26b887bbe529" elementFormDefault="qualified">
    <xsd:import namespace="http://schemas.microsoft.com/office/2006/documentManagement/types"/>
    <xsd:import namespace="http://schemas.microsoft.com/office/infopath/2007/PartnerControls"/>
    <xsd:element name="Datetime" ma:index="4" nillable="true" ma:displayName="Date &amp; time" ma:format="DateTime" ma:internalName="Datetime" ma:readOnly="false">
      <xsd:simpleType>
        <xsd:restriction base="dms:DateTime"/>
      </xsd:simpleType>
    </xsd:element>
    <xsd:element name="Link" ma:index="5" nillable="true" ma:displayName="Link" ma:format="Hyperlink" ma:internalName="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6ea6d24-4e56-4578-bec2-493a0cd976ad" ma:termSetId="09814cd3-568e-fe90-9814-8d621ff8fb84" ma:anchorId="fba54fb3-c3e1-fe81-a776-ca4b69148c4d" ma:open="true" ma:isKeyword="false">
      <xsd:complexType>
        <xsd:sequence>
          <xsd:element ref="pc:Terms" minOccurs="0" maxOccurs="1"/>
        </xsd:sequence>
      </xsd:complex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c66613-bc99-43e0-a9e8-d1f7eaee9ec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c381bcb-a422-47c4-bfd4-37ede1007f1d}" ma:internalName="TaxCatchAll" ma:showField="CatchAllData" ma:web="78c66613-bc99-43e0-a9e8-d1f7eaee9ec1">
      <xsd:complexType>
        <xsd:complexContent>
          <xsd:extension base="dms:MultiChoiceLookup">
            <xsd:sequence>
              <xsd:element name="Value" type="dms:Lookup" maxOccurs="unbounded" minOccurs="0" nillable="true"/>
            </xsd:sequence>
          </xsd:extension>
        </xsd:complexContent>
      </xsd:complexType>
    </xsd:element>
    <xsd:element name="_dlc_DocId" ma:index="23" nillable="true" ma:displayName="Document ID Value" ma:description="The value of the document ID assigned to this item." ma:indexed="true"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8c66613-bc99-43e0-a9e8-d1f7eaee9ec1" xsi:nil="true"/>
    <Datetime xmlns="92fe4474-f217-4bfc-8f48-26b887bbe529" xsi:nil="true"/>
    <Link xmlns="92fe4474-f217-4bfc-8f48-26b887bbe529">
      <Url xsi:nil="true"/>
      <Description xsi:nil="true"/>
    </Link>
    <lcf76f155ced4ddcb4097134ff3c332f xmlns="92fe4474-f217-4bfc-8f48-26b887bbe529">
      <Terms xmlns="http://schemas.microsoft.com/office/infopath/2007/PartnerControls"/>
    </lcf76f155ced4ddcb4097134ff3c332f>
    <_dlc_DocId xmlns="78c66613-bc99-43e0-a9e8-d1f7eaee9ec1">HOLTARA-295232655-686691</_dlc_DocId>
    <_dlc_DocIdUrl xmlns="78c66613-bc99-43e0-a9e8-d1f7eaee9ec1">
      <Url>https://apexfs.sharepoint.com/sites/Holtara-ESGSustainability/_layouts/15/DocIdRedir.aspx?ID=HOLTARA-295232655-686691</Url>
      <Description>HOLTARA-295232655-686691</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c6ea6d24-4e56-4578-bec2-493a0cd976ad" ContentTypeId="0x0101" PreviousValue="false" LastSyncTimeStamp="2024-10-17T09:34:05.21Z"/>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5D68AB-8AED-46CA-AEB1-1B01E558B1D6}">
  <ds:schemaRefs>
    <ds:schemaRef ds:uri="http://schemas.microsoft.com/sharepoint/events"/>
  </ds:schemaRefs>
</ds:datastoreItem>
</file>

<file path=customXml/itemProps2.xml><?xml version="1.0" encoding="utf-8"?>
<ds:datastoreItem xmlns:ds="http://schemas.openxmlformats.org/officeDocument/2006/customXml" ds:itemID="{446FA714-4A26-44BE-8DD8-1535CEA835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fe4474-f217-4bfc-8f48-26b887bbe529"/>
    <ds:schemaRef ds:uri="78c66613-bc99-43e0-a9e8-d1f7eaee9e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757A7F-2634-4A4A-A4BF-4C86478EE38F}">
  <ds:schemaRefs>
    <ds:schemaRef ds:uri="http://schemas.microsoft.com/office/2006/metadata/properties"/>
    <ds:schemaRef ds:uri="http://schemas.microsoft.com/office/infopath/2007/PartnerControls"/>
    <ds:schemaRef ds:uri="78c66613-bc99-43e0-a9e8-d1f7eaee9ec1"/>
    <ds:schemaRef ds:uri="92fe4474-f217-4bfc-8f48-26b887bbe529"/>
  </ds:schemaRefs>
</ds:datastoreItem>
</file>

<file path=customXml/itemProps4.xml><?xml version="1.0" encoding="utf-8"?>
<ds:datastoreItem xmlns:ds="http://schemas.openxmlformats.org/officeDocument/2006/customXml" ds:itemID="{B06EE8E2-ABE1-41EF-BB9F-AC5A5CCFC1FC}">
  <ds:schemaRefs>
    <ds:schemaRef ds:uri="http://schemas.microsoft.com/sharepoint/v3/contenttype/forms"/>
  </ds:schemaRefs>
</ds:datastoreItem>
</file>

<file path=customXml/itemProps5.xml><?xml version="1.0" encoding="utf-8"?>
<ds:datastoreItem xmlns:ds="http://schemas.openxmlformats.org/officeDocument/2006/customXml" ds:itemID="{EEFB10C4-DDA6-407C-9E60-DE2CCC0B970A}">
  <ds:schemaRefs>
    <ds:schemaRef ds:uri="Microsoft.SharePoint.Taxonomy.ContentTypeSync"/>
  </ds:schemaRefs>
</ds:datastoreItem>
</file>

<file path=customXml/itemProps6.xml><?xml version="1.0" encoding="utf-8"?>
<ds:datastoreItem xmlns:ds="http://schemas.openxmlformats.org/officeDocument/2006/customXml" ds:itemID="{77887708-0FBA-4DCB-8263-6DA7A5F4F1DE}">
  <ds:schemaRefs>
    <ds:schemaRef ds:uri="http://schemas.openxmlformats.org/officeDocument/2006/bibliography"/>
  </ds:schemaRefs>
</ds:datastoreItem>
</file>

<file path=docMetadata/LabelInfo.xml><?xml version="1.0" encoding="utf-8"?>
<clbl:labelList xmlns:clbl="http://schemas.microsoft.com/office/2020/mipLabelMetadata">
  <clbl:label id="{5442ad35-e3c2-4ad7-ad38-e30286b48083}" enabled="0" method="" siteId="{5442ad35-e3c2-4ad7-ad38-e30286b48083}" removed="1"/>
</clbl:labelList>
</file>

<file path=docProps/app.xml><?xml version="1.0" encoding="utf-8"?>
<Properties xmlns="http://schemas.openxmlformats.org/officeDocument/2006/extended-properties" xmlns:vt="http://schemas.openxmlformats.org/officeDocument/2006/docPropsVTypes">
  <Template>Normal.dotm</Template>
  <TotalTime>146</TotalTime>
  <Pages>9</Pages>
  <Words>2612</Words>
  <Characters>14892</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Swarada Satish Pathradkar</dc:creator>
  <cp:keywords/>
  <dc:description/>
  <cp:lastModifiedBy>David Copeland</cp:lastModifiedBy>
  <cp:revision>37</cp:revision>
  <dcterms:created xsi:type="dcterms:W3CDTF">2025-10-07T15:36:00Z</dcterms:created>
  <dcterms:modified xsi:type="dcterms:W3CDTF">2026-04-16T08:02:00Z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b42f1cf3-7516-4559-a1d8-9a1eb2a8de4c</vt:lpwstr>
  </property>
  <property fmtid="{D5CDD505-2E9C-101B-9397-08002B2CF9AE}" pid="3" name="ContentTypeId">
    <vt:lpwstr>0x010100FDD83B06DC19F440A4EC39D4EB972235</vt:lpwstr>
  </property>
  <property fmtid="{D5CDD505-2E9C-101B-9397-08002B2CF9AE}" pid="4" name="MediaServiceImageTags">
    <vt:lpwstr/>
  </property>
  <property fmtid="{D5CDD505-2E9C-101B-9397-08002B2CF9AE}" pid="5" name="_dlc_DocIdItemGuid">
    <vt:lpwstr>701d260a-fee0-4045-ad97-9918d60501aa</vt:lpwstr>
  </property>
</Properties>
</file>